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C48EF8" w14:textId="77777777" w:rsidR="00CA3231" w:rsidRDefault="00CA3231">
      <w:pPr>
        <w:spacing w:line="276" w:lineRule="auto"/>
        <w:jc w:val="right"/>
        <w:rPr>
          <w:sz w:val="22"/>
          <w:szCs w:val="22"/>
        </w:rPr>
      </w:pPr>
      <w:bookmarkStart w:id="0" w:name="_GoBack"/>
      <w:bookmarkEnd w:id="0"/>
    </w:p>
    <w:p w14:paraId="0EC48EF9" w14:textId="77777777" w:rsidR="00CA3231" w:rsidRDefault="001017FC">
      <w:pPr>
        <w:spacing w:line="276" w:lineRule="auto"/>
        <w:jc w:val="right"/>
        <w:rPr>
          <w:sz w:val="22"/>
          <w:szCs w:val="22"/>
        </w:rPr>
      </w:pPr>
      <w:r>
        <w:rPr>
          <w:sz w:val="22"/>
          <w:szCs w:val="22"/>
        </w:rPr>
        <w:t>Bogotá D.C, enero de 2025</w:t>
      </w:r>
    </w:p>
    <w:p w14:paraId="0EC48EFA" w14:textId="77777777" w:rsidR="00CA3231" w:rsidRDefault="00CA3231">
      <w:pPr>
        <w:spacing w:line="276" w:lineRule="auto"/>
        <w:jc w:val="both"/>
        <w:rPr>
          <w:sz w:val="22"/>
          <w:szCs w:val="22"/>
        </w:rPr>
      </w:pPr>
    </w:p>
    <w:p w14:paraId="0EC48EFB" w14:textId="77777777" w:rsidR="00CA3231" w:rsidRDefault="00CA3231">
      <w:pPr>
        <w:spacing w:line="276" w:lineRule="auto"/>
        <w:jc w:val="both"/>
        <w:rPr>
          <w:sz w:val="22"/>
          <w:szCs w:val="22"/>
        </w:rPr>
      </w:pPr>
    </w:p>
    <w:p w14:paraId="0EC48EFC" w14:textId="77777777" w:rsidR="00CA3231" w:rsidRDefault="001017FC">
      <w:pPr>
        <w:spacing w:line="276" w:lineRule="auto"/>
        <w:jc w:val="both"/>
        <w:rPr>
          <w:sz w:val="22"/>
          <w:szCs w:val="22"/>
        </w:rPr>
      </w:pPr>
      <w:r>
        <w:rPr>
          <w:sz w:val="22"/>
          <w:szCs w:val="22"/>
        </w:rPr>
        <w:t>Señora</w:t>
      </w:r>
    </w:p>
    <w:p w14:paraId="0EC48EFD" w14:textId="77777777" w:rsidR="00CA3231" w:rsidRDefault="001017FC">
      <w:pPr>
        <w:spacing w:line="276" w:lineRule="auto"/>
        <w:jc w:val="both"/>
        <w:rPr>
          <w:b/>
          <w:sz w:val="22"/>
          <w:szCs w:val="22"/>
        </w:rPr>
      </w:pPr>
      <w:r>
        <w:rPr>
          <w:b/>
          <w:sz w:val="22"/>
          <w:szCs w:val="22"/>
        </w:rPr>
        <w:t>LUZ ANGÉLICA VIZCAINO SOLANO</w:t>
      </w:r>
    </w:p>
    <w:p w14:paraId="0EC48EFE" w14:textId="77777777" w:rsidR="00CA3231" w:rsidRDefault="001017FC">
      <w:pPr>
        <w:spacing w:line="276" w:lineRule="auto"/>
        <w:jc w:val="both"/>
        <w:rPr>
          <w:sz w:val="22"/>
          <w:szCs w:val="22"/>
        </w:rPr>
      </w:pPr>
      <w:r>
        <w:rPr>
          <w:sz w:val="22"/>
          <w:szCs w:val="22"/>
        </w:rPr>
        <w:t>Secretaria General de Organismo de Control</w:t>
      </w:r>
    </w:p>
    <w:p w14:paraId="0EC48EFF" w14:textId="77777777" w:rsidR="00CA3231" w:rsidRDefault="001017FC">
      <w:pPr>
        <w:spacing w:line="276" w:lineRule="auto"/>
        <w:jc w:val="both"/>
        <w:rPr>
          <w:sz w:val="22"/>
          <w:szCs w:val="22"/>
        </w:rPr>
      </w:pPr>
      <w:r>
        <w:rPr>
          <w:sz w:val="22"/>
          <w:szCs w:val="22"/>
        </w:rPr>
        <w:t>Concejo de Bogotá D.C.</w:t>
      </w:r>
    </w:p>
    <w:p w14:paraId="0EC48F00" w14:textId="77777777" w:rsidR="00CA3231" w:rsidRDefault="001017FC">
      <w:pPr>
        <w:spacing w:line="276" w:lineRule="auto"/>
        <w:jc w:val="both"/>
        <w:rPr>
          <w:sz w:val="22"/>
          <w:szCs w:val="22"/>
        </w:rPr>
      </w:pPr>
      <w:r>
        <w:rPr>
          <w:sz w:val="22"/>
          <w:szCs w:val="22"/>
        </w:rPr>
        <w:t>Ciudad</w:t>
      </w:r>
    </w:p>
    <w:p w14:paraId="0EC48F01" w14:textId="77777777" w:rsidR="00CA3231" w:rsidRDefault="00CA3231">
      <w:pPr>
        <w:spacing w:line="276" w:lineRule="auto"/>
        <w:jc w:val="both"/>
        <w:rPr>
          <w:sz w:val="22"/>
          <w:szCs w:val="22"/>
        </w:rPr>
      </w:pPr>
    </w:p>
    <w:p w14:paraId="0EC48F02" w14:textId="77777777" w:rsidR="00CA3231" w:rsidRDefault="00CA3231">
      <w:pPr>
        <w:spacing w:line="276" w:lineRule="auto"/>
        <w:jc w:val="both"/>
        <w:rPr>
          <w:b/>
          <w:sz w:val="22"/>
          <w:szCs w:val="22"/>
        </w:rPr>
      </w:pPr>
    </w:p>
    <w:p w14:paraId="0EC48F03" w14:textId="77777777" w:rsidR="00CA3231" w:rsidRDefault="001017FC">
      <w:pPr>
        <w:spacing w:line="276" w:lineRule="auto"/>
        <w:jc w:val="both"/>
        <w:rPr>
          <w:sz w:val="22"/>
          <w:szCs w:val="22"/>
        </w:rPr>
      </w:pPr>
      <w:r>
        <w:rPr>
          <w:b/>
          <w:sz w:val="22"/>
          <w:szCs w:val="22"/>
        </w:rPr>
        <w:t xml:space="preserve">Asunto: </w:t>
      </w:r>
      <w:r>
        <w:rPr>
          <w:sz w:val="22"/>
          <w:szCs w:val="22"/>
        </w:rPr>
        <w:t>Radicación Proyecto de Acuerdo</w:t>
      </w:r>
    </w:p>
    <w:p w14:paraId="0EC48F04" w14:textId="77777777" w:rsidR="00CA3231" w:rsidRDefault="00CA3231">
      <w:pPr>
        <w:spacing w:line="276" w:lineRule="auto"/>
        <w:jc w:val="both"/>
        <w:rPr>
          <w:sz w:val="22"/>
          <w:szCs w:val="22"/>
        </w:rPr>
      </w:pPr>
    </w:p>
    <w:p w14:paraId="0EC48F05" w14:textId="77777777" w:rsidR="00CA3231" w:rsidRDefault="00CA3231">
      <w:pPr>
        <w:spacing w:line="276" w:lineRule="auto"/>
        <w:jc w:val="both"/>
        <w:rPr>
          <w:sz w:val="22"/>
          <w:szCs w:val="22"/>
        </w:rPr>
      </w:pPr>
    </w:p>
    <w:p w14:paraId="0EC48F06" w14:textId="77777777" w:rsidR="00CA3231" w:rsidRDefault="001017FC">
      <w:pPr>
        <w:spacing w:line="276" w:lineRule="auto"/>
        <w:jc w:val="both"/>
        <w:rPr>
          <w:sz w:val="22"/>
          <w:szCs w:val="22"/>
        </w:rPr>
      </w:pPr>
      <w:r>
        <w:rPr>
          <w:sz w:val="22"/>
          <w:szCs w:val="22"/>
        </w:rPr>
        <w:t>Apreciada Secretaria,</w:t>
      </w:r>
    </w:p>
    <w:p w14:paraId="0EC48F07" w14:textId="77777777" w:rsidR="00CA3231" w:rsidRDefault="00CA3231">
      <w:pPr>
        <w:spacing w:line="276" w:lineRule="auto"/>
        <w:jc w:val="both"/>
        <w:rPr>
          <w:sz w:val="22"/>
          <w:szCs w:val="22"/>
        </w:rPr>
      </w:pPr>
    </w:p>
    <w:p w14:paraId="0EC48F08" w14:textId="77777777" w:rsidR="00CA3231" w:rsidRDefault="001017FC">
      <w:pPr>
        <w:spacing w:line="276" w:lineRule="auto"/>
        <w:jc w:val="both"/>
        <w:rPr>
          <w:b/>
          <w:sz w:val="22"/>
          <w:szCs w:val="22"/>
        </w:rPr>
      </w:pPr>
      <w:r>
        <w:rPr>
          <w:sz w:val="22"/>
          <w:szCs w:val="22"/>
        </w:rPr>
        <w:t xml:space="preserve">Por medio de la presente y de conformidad con lo dispuesto en los artículos 65, 66 y 67 del Acuerdo 741 de 2019, modificado por el Acuerdo 837 de 2022, me permito radicar ante su despacho el Proyecto de Acuerdo </w:t>
      </w:r>
      <w:r>
        <w:rPr>
          <w:b/>
          <w:sz w:val="22"/>
          <w:szCs w:val="22"/>
        </w:rPr>
        <w:t>“POR MEDIO DEL CUAL SE ESTABLECEN LINEAMIENTOS PARA LA PREVENCIÓN Y MITIGACIÓN DEL ESTRÉS POSTRAUMÁTICO EN LAS FUERZAS DE EMERGENCIAS, PRIMEROS ATENDIENTES Y VÍCTIMAS DE EMERGENCIAS Y/O SITUACIONES TRAUMÁTICAS, SE CREA EL DÍA DISTRITAL PARA LA CONCIENTIZACIÓN SOBRE EL TRASTORNO DE ESTRÉS POSTRAUMÁTICO EN EL DISTRITO CAPITAL Y SE DICTAN OTRAS DISPOSICIONES”</w:t>
      </w:r>
    </w:p>
    <w:p w14:paraId="0EC48F09" w14:textId="77777777" w:rsidR="00CA3231" w:rsidRDefault="00CA3231">
      <w:pPr>
        <w:spacing w:line="276" w:lineRule="auto"/>
        <w:jc w:val="both"/>
        <w:rPr>
          <w:b/>
          <w:sz w:val="22"/>
          <w:szCs w:val="22"/>
        </w:rPr>
      </w:pPr>
    </w:p>
    <w:p w14:paraId="0EC48F0A" w14:textId="77777777" w:rsidR="00CA3231" w:rsidRDefault="001017FC">
      <w:pPr>
        <w:spacing w:line="276" w:lineRule="auto"/>
        <w:jc w:val="both"/>
        <w:rPr>
          <w:sz w:val="22"/>
          <w:szCs w:val="22"/>
        </w:rPr>
      </w:pPr>
      <w:r>
        <w:rPr>
          <w:sz w:val="22"/>
          <w:szCs w:val="22"/>
        </w:rPr>
        <w:t>Cordialmente,</w:t>
      </w:r>
    </w:p>
    <w:p w14:paraId="0EC48F0B" w14:textId="77777777" w:rsidR="00CA3231" w:rsidRDefault="00CA3231">
      <w:pPr>
        <w:spacing w:line="276" w:lineRule="auto"/>
        <w:jc w:val="both"/>
        <w:rPr>
          <w:sz w:val="22"/>
          <w:szCs w:val="22"/>
        </w:rPr>
      </w:pPr>
    </w:p>
    <w:p w14:paraId="0EC48F0C" w14:textId="77777777" w:rsidR="00CA3231" w:rsidRDefault="00CA3231">
      <w:pPr>
        <w:widowControl w:val="0"/>
        <w:shd w:val="clear" w:color="auto" w:fill="FFFFFF"/>
        <w:spacing w:after="280" w:line="276" w:lineRule="auto"/>
        <w:jc w:val="both"/>
        <w:rPr>
          <w:sz w:val="22"/>
          <w:szCs w:val="22"/>
        </w:rPr>
      </w:pPr>
    </w:p>
    <w:p w14:paraId="0EC48F0D" w14:textId="77777777" w:rsidR="00CA3231" w:rsidRDefault="00CA3231">
      <w:pPr>
        <w:widowControl w:val="0"/>
        <w:shd w:val="clear" w:color="auto" w:fill="FFFFFF"/>
        <w:spacing w:after="280" w:line="276" w:lineRule="auto"/>
        <w:jc w:val="both"/>
        <w:rPr>
          <w:sz w:val="22"/>
          <w:szCs w:val="22"/>
        </w:rPr>
      </w:pPr>
    </w:p>
    <w:p w14:paraId="0EC48F0E" w14:textId="77777777" w:rsidR="00CA3231" w:rsidRDefault="00CA3231">
      <w:pPr>
        <w:widowControl w:val="0"/>
        <w:shd w:val="clear" w:color="auto" w:fill="FFFFFF"/>
        <w:spacing w:after="280" w:line="276" w:lineRule="auto"/>
        <w:jc w:val="both"/>
        <w:rPr>
          <w:sz w:val="22"/>
          <w:szCs w:val="22"/>
        </w:rPr>
      </w:pPr>
    </w:p>
    <w:p w14:paraId="0EC48F0F" w14:textId="77777777" w:rsidR="00CA3231" w:rsidRDefault="001017FC">
      <w:pPr>
        <w:spacing w:line="276" w:lineRule="auto"/>
        <w:rPr>
          <w:b/>
          <w:sz w:val="22"/>
          <w:szCs w:val="22"/>
        </w:rPr>
      </w:pPr>
      <w:r>
        <w:rPr>
          <w:b/>
          <w:sz w:val="22"/>
          <w:szCs w:val="22"/>
        </w:rPr>
        <w:t>JULIÁN FELIPE TRIANA VARGAS</w:t>
      </w:r>
      <w:r>
        <w:rPr>
          <w:b/>
          <w:sz w:val="22"/>
          <w:szCs w:val="22"/>
        </w:rPr>
        <w:tab/>
      </w:r>
      <w:r>
        <w:rPr>
          <w:b/>
          <w:sz w:val="22"/>
          <w:szCs w:val="22"/>
        </w:rPr>
        <w:tab/>
      </w:r>
    </w:p>
    <w:p w14:paraId="0EC48F10" w14:textId="77777777" w:rsidR="00CA3231" w:rsidRDefault="001017FC">
      <w:pPr>
        <w:spacing w:line="276" w:lineRule="auto"/>
        <w:rPr>
          <w:sz w:val="22"/>
          <w:szCs w:val="22"/>
        </w:rPr>
      </w:pPr>
      <w:r>
        <w:rPr>
          <w:sz w:val="22"/>
          <w:szCs w:val="22"/>
        </w:rPr>
        <w:t>Concejal de Bogotá D.C.</w:t>
      </w:r>
      <w:r>
        <w:rPr>
          <w:sz w:val="22"/>
          <w:szCs w:val="22"/>
        </w:rPr>
        <w:tab/>
      </w:r>
      <w:r>
        <w:rPr>
          <w:sz w:val="22"/>
          <w:szCs w:val="22"/>
        </w:rPr>
        <w:tab/>
      </w:r>
      <w:r>
        <w:rPr>
          <w:sz w:val="22"/>
          <w:szCs w:val="22"/>
        </w:rPr>
        <w:tab/>
      </w:r>
    </w:p>
    <w:p w14:paraId="0EC48F11" w14:textId="3B3BA4F4" w:rsidR="00CA3231" w:rsidRDefault="001017FC">
      <w:pPr>
        <w:spacing w:line="276" w:lineRule="auto"/>
        <w:rPr>
          <w:sz w:val="22"/>
          <w:szCs w:val="22"/>
        </w:rPr>
      </w:pPr>
      <w:r>
        <w:rPr>
          <w:sz w:val="22"/>
          <w:szCs w:val="22"/>
        </w:rPr>
        <w:t>Partido Alianza Verde</w:t>
      </w:r>
      <w:r>
        <w:rPr>
          <w:sz w:val="22"/>
          <w:szCs w:val="22"/>
        </w:rPr>
        <w:tab/>
      </w:r>
      <w:r>
        <w:rPr>
          <w:sz w:val="22"/>
          <w:szCs w:val="22"/>
        </w:rPr>
        <w:tab/>
      </w:r>
    </w:p>
    <w:p w14:paraId="7A33F75C" w14:textId="77777777" w:rsidR="00BF3013" w:rsidRDefault="00BF3013">
      <w:pPr>
        <w:spacing w:line="276" w:lineRule="auto"/>
        <w:rPr>
          <w:b/>
          <w:sz w:val="22"/>
          <w:szCs w:val="22"/>
        </w:rPr>
      </w:pPr>
    </w:p>
    <w:p w14:paraId="0EC48F12" w14:textId="45691E6E" w:rsidR="00CA3231" w:rsidRDefault="001017FC">
      <w:pPr>
        <w:spacing w:line="276" w:lineRule="auto"/>
        <w:jc w:val="center"/>
        <w:rPr>
          <w:b/>
          <w:sz w:val="22"/>
          <w:szCs w:val="22"/>
        </w:rPr>
      </w:pPr>
      <w:r>
        <w:rPr>
          <w:b/>
          <w:sz w:val="22"/>
          <w:szCs w:val="22"/>
        </w:rPr>
        <w:lastRenderedPageBreak/>
        <w:t xml:space="preserve">PROYECTO DE ACUERDO N. </w:t>
      </w:r>
      <w:r w:rsidR="00BF3013">
        <w:rPr>
          <w:b/>
          <w:sz w:val="22"/>
          <w:szCs w:val="22"/>
        </w:rPr>
        <w:t>151</w:t>
      </w:r>
      <w:r>
        <w:rPr>
          <w:b/>
          <w:sz w:val="22"/>
          <w:szCs w:val="22"/>
        </w:rPr>
        <w:t xml:space="preserve"> DE 2025</w:t>
      </w:r>
    </w:p>
    <w:p w14:paraId="0EC48F13" w14:textId="77777777" w:rsidR="00CA3231" w:rsidRDefault="00CA3231">
      <w:pPr>
        <w:spacing w:line="276" w:lineRule="auto"/>
        <w:jc w:val="center"/>
        <w:rPr>
          <w:b/>
          <w:sz w:val="22"/>
          <w:szCs w:val="22"/>
        </w:rPr>
      </w:pPr>
    </w:p>
    <w:p w14:paraId="0EC48F14" w14:textId="77777777" w:rsidR="00CA3231" w:rsidRDefault="001017FC">
      <w:pPr>
        <w:spacing w:line="276" w:lineRule="auto"/>
        <w:jc w:val="center"/>
        <w:rPr>
          <w:b/>
          <w:sz w:val="22"/>
          <w:szCs w:val="22"/>
        </w:rPr>
      </w:pPr>
      <w:r>
        <w:rPr>
          <w:b/>
          <w:sz w:val="22"/>
          <w:szCs w:val="22"/>
        </w:rPr>
        <w:t>“POR MEDIO DEL CUAL SE ESTABLECEN LINEAMIENTOS PARA LA PREVENCIÓN Y MITIGACIÓN DEL ESTRÉS POSTRAUMÁTICO EN LAS FUERZAS DE EMERGENCIAS, PRIMEROS ATENDIENTES Y VÍCTIMAS DE EMERGENCIAS Y/O SITUACIONES TRAUMÁTICAS, SE CREA EL DÍA DISTRITAL PARA LA CONCIENTIZACIÓN SOBRE EL TRASTORNO DE ESTRÉS POSTRAUMÁTICO EN EL DISTRITO CAPITAL Y SE DICTAN OTRAS DISPOSICIONES”</w:t>
      </w:r>
    </w:p>
    <w:p w14:paraId="0EC48F15" w14:textId="77777777" w:rsidR="00CA3231" w:rsidRDefault="00CA3231">
      <w:pPr>
        <w:spacing w:line="276" w:lineRule="auto"/>
        <w:jc w:val="both"/>
        <w:rPr>
          <w:b/>
          <w:sz w:val="22"/>
          <w:szCs w:val="22"/>
        </w:rPr>
      </w:pPr>
    </w:p>
    <w:p w14:paraId="0EC48F16" w14:textId="77777777" w:rsidR="00CA3231" w:rsidRDefault="00CA3231">
      <w:pPr>
        <w:jc w:val="center"/>
        <w:rPr>
          <w:b/>
          <w:sz w:val="22"/>
          <w:szCs w:val="22"/>
        </w:rPr>
      </w:pPr>
    </w:p>
    <w:p w14:paraId="0EC48F17" w14:textId="77777777" w:rsidR="00CA3231" w:rsidRDefault="001017FC">
      <w:pPr>
        <w:ind w:left="720"/>
        <w:jc w:val="center"/>
        <w:rPr>
          <w:b/>
          <w:sz w:val="22"/>
          <w:szCs w:val="22"/>
        </w:rPr>
      </w:pPr>
      <w:r>
        <w:rPr>
          <w:b/>
          <w:sz w:val="22"/>
          <w:szCs w:val="22"/>
        </w:rPr>
        <w:t xml:space="preserve">EXPOSICIÓN DE MOTIVOS </w:t>
      </w:r>
    </w:p>
    <w:p w14:paraId="0EC48F18" w14:textId="77777777" w:rsidR="00CA3231" w:rsidRDefault="00CA3231">
      <w:pPr>
        <w:rPr>
          <w:b/>
          <w:sz w:val="22"/>
          <w:szCs w:val="22"/>
        </w:rPr>
      </w:pPr>
    </w:p>
    <w:p w14:paraId="0EC48F19" w14:textId="77777777" w:rsidR="00CA3231" w:rsidRDefault="001017FC">
      <w:pPr>
        <w:numPr>
          <w:ilvl w:val="0"/>
          <w:numId w:val="8"/>
        </w:numPr>
        <w:jc w:val="both"/>
        <w:rPr>
          <w:b/>
          <w:sz w:val="22"/>
          <w:szCs w:val="22"/>
        </w:rPr>
      </w:pPr>
      <w:r>
        <w:rPr>
          <w:b/>
          <w:sz w:val="22"/>
          <w:szCs w:val="22"/>
        </w:rPr>
        <w:t>SUSTENTO JURÍDICO DE LA INICIATIVA</w:t>
      </w:r>
    </w:p>
    <w:p w14:paraId="0EC48F1A" w14:textId="77777777" w:rsidR="00CA3231" w:rsidRDefault="00CA3231">
      <w:pPr>
        <w:jc w:val="both"/>
        <w:rPr>
          <w:b/>
          <w:sz w:val="22"/>
          <w:szCs w:val="22"/>
        </w:rPr>
      </w:pPr>
    </w:p>
    <w:p w14:paraId="0EC48F1B" w14:textId="77777777" w:rsidR="00CA3231" w:rsidRDefault="001017FC">
      <w:pPr>
        <w:numPr>
          <w:ilvl w:val="0"/>
          <w:numId w:val="6"/>
        </w:numPr>
        <w:spacing w:line="259" w:lineRule="auto"/>
        <w:rPr>
          <w:b/>
          <w:sz w:val="22"/>
          <w:szCs w:val="22"/>
        </w:rPr>
      </w:pPr>
      <w:r>
        <w:rPr>
          <w:b/>
          <w:sz w:val="22"/>
          <w:szCs w:val="22"/>
        </w:rPr>
        <w:t>Fundamentos Constitucionales y Legales</w:t>
      </w:r>
    </w:p>
    <w:p w14:paraId="0EC48F1C" w14:textId="77777777" w:rsidR="00CA3231" w:rsidRDefault="00CA3231">
      <w:pPr>
        <w:spacing w:line="259" w:lineRule="auto"/>
        <w:ind w:left="720"/>
        <w:rPr>
          <w:b/>
          <w:sz w:val="22"/>
          <w:szCs w:val="22"/>
        </w:rPr>
      </w:pPr>
    </w:p>
    <w:p w14:paraId="0EC48F1D" w14:textId="77777777" w:rsidR="00CA3231" w:rsidRDefault="001017FC">
      <w:pPr>
        <w:spacing w:line="259" w:lineRule="auto"/>
        <w:jc w:val="center"/>
        <w:rPr>
          <w:sz w:val="22"/>
          <w:szCs w:val="22"/>
        </w:rPr>
      </w:pPr>
      <w:r>
        <w:rPr>
          <w:b/>
          <w:sz w:val="22"/>
          <w:szCs w:val="22"/>
        </w:rPr>
        <w:t xml:space="preserve">Tabla no. 1. </w:t>
      </w:r>
      <w:r>
        <w:rPr>
          <w:sz w:val="22"/>
          <w:szCs w:val="22"/>
        </w:rPr>
        <w:t>Normas de orden nacional</w:t>
      </w:r>
    </w:p>
    <w:p w14:paraId="0EC48F1E" w14:textId="77777777" w:rsidR="00CA3231" w:rsidRDefault="00CA3231">
      <w:pPr>
        <w:spacing w:line="259" w:lineRule="auto"/>
        <w:rPr>
          <w:b/>
          <w:sz w:val="22"/>
          <w:szCs w:val="22"/>
        </w:rPr>
      </w:pPr>
    </w:p>
    <w:tbl>
      <w:tblPr>
        <w:tblStyle w:val="ae"/>
        <w:tblW w:w="8838"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751"/>
        <w:gridCol w:w="8087"/>
      </w:tblGrid>
      <w:tr w:rsidR="00CA3231" w14:paraId="0EC48F21" w14:textId="77777777">
        <w:trPr>
          <w:trHeight w:val="285"/>
        </w:trPr>
        <w:tc>
          <w:tcPr>
            <w:tcW w:w="75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EC48F1F" w14:textId="77777777" w:rsidR="00CA3231" w:rsidRDefault="001017FC">
            <w:pPr>
              <w:spacing w:line="276" w:lineRule="auto"/>
              <w:jc w:val="center"/>
              <w:rPr>
                <w:b/>
                <w:sz w:val="22"/>
                <w:szCs w:val="22"/>
              </w:rPr>
            </w:pPr>
            <w:r>
              <w:rPr>
                <w:b/>
                <w:sz w:val="22"/>
                <w:szCs w:val="22"/>
              </w:rPr>
              <w:t>AÑO</w:t>
            </w:r>
          </w:p>
        </w:tc>
        <w:tc>
          <w:tcPr>
            <w:tcW w:w="8087"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EC48F20" w14:textId="77777777" w:rsidR="00CA3231" w:rsidRDefault="001017FC">
            <w:pPr>
              <w:spacing w:line="276" w:lineRule="auto"/>
              <w:jc w:val="center"/>
              <w:rPr>
                <w:b/>
                <w:sz w:val="22"/>
                <w:szCs w:val="22"/>
              </w:rPr>
            </w:pPr>
            <w:r>
              <w:rPr>
                <w:b/>
                <w:sz w:val="22"/>
                <w:szCs w:val="22"/>
              </w:rPr>
              <w:t>NORMAS DE ORDEN NACIONAL</w:t>
            </w:r>
          </w:p>
        </w:tc>
      </w:tr>
      <w:tr w:rsidR="00CA3231" w14:paraId="0EC48F26" w14:textId="77777777">
        <w:trPr>
          <w:trHeight w:val="2055"/>
        </w:trPr>
        <w:tc>
          <w:tcPr>
            <w:tcW w:w="751"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EC48F22" w14:textId="77777777" w:rsidR="00CA3231" w:rsidRDefault="001017FC">
            <w:pPr>
              <w:spacing w:line="276" w:lineRule="auto"/>
              <w:jc w:val="center"/>
              <w:rPr>
                <w:b/>
                <w:sz w:val="22"/>
                <w:szCs w:val="22"/>
              </w:rPr>
            </w:pPr>
            <w:r>
              <w:rPr>
                <w:b/>
                <w:sz w:val="22"/>
                <w:szCs w:val="22"/>
              </w:rPr>
              <w:t>1991</w:t>
            </w:r>
          </w:p>
        </w:tc>
        <w:tc>
          <w:tcPr>
            <w:tcW w:w="8087" w:type="dxa"/>
            <w:tcBorders>
              <w:top w:val="nil"/>
              <w:left w:val="nil"/>
              <w:bottom w:val="single" w:sz="6" w:space="0" w:color="000000"/>
              <w:right w:val="single" w:sz="6" w:space="0" w:color="000000"/>
            </w:tcBorders>
            <w:tcMar>
              <w:top w:w="0" w:type="dxa"/>
              <w:left w:w="100" w:type="dxa"/>
              <w:bottom w:w="0" w:type="dxa"/>
              <w:right w:w="100" w:type="dxa"/>
            </w:tcMar>
          </w:tcPr>
          <w:p w14:paraId="0EC48F23" w14:textId="77777777" w:rsidR="00CA3231" w:rsidRDefault="001017FC">
            <w:pPr>
              <w:spacing w:line="276" w:lineRule="auto"/>
              <w:jc w:val="both"/>
              <w:rPr>
                <w:sz w:val="22"/>
                <w:szCs w:val="22"/>
              </w:rPr>
            </w:pPr>
            <w:r>
              <w:rPr>
                <w:sz w:val="22"/>
                <w:szCs w:val="22"/>
              </w:rPr>
              <w:t xml:space="preserve">Con la creación de la </w:t>
            </w:r>
            <w:r>
              <w:rPr>
                <w:b/>
                <w:sz w:val="22"/>
                <w:szCs w:val="22"/>
              </w:rPr>
              <w:t>Constitución de 1991</w:t>
            </w:r>
            <w:r>
              <w:rPr>
                <w:sz w:val="22"/>
                <w:szCs w:val="22"/>
              </w:rPr>
              <w:t>, Colombia se convirtió en un país garantista con relación a los derechos fundamentales, uno de los ejes que adoptó es el cuidado de la Salud Mental, con el fin de garantizar el ejercicio pleno del Derecho a la población colombiana, además de la protección a los niños, niñas y adolescentes contra cualquier forma de violencia.</w:t>
            </w:r>
          </w:p>
          <w:p w14:paraId="0EC48F24" w14:textId="77777777" w:rsidR="00CA3231" w:rsidRDefault="00CA3231">
            <w:pPr>
              <w:spacing w:line="276" w:lineRule="auto"/>
              <w:jc w:val="both"/>
              <w:rPr>
                <w:b/>
                <w:sz w:val="22"/>
                <w:szCs w:val="22"/>
              </w:rPr>
            </w:pPr>
          </w:p>
          <w:p w14:paraId="0EC48F25" w14:textId="77777777" w:rsidR="00CA3231" w:rsidRDefault="001017FC">
            <w:pPr>
              <w:shd w:val="clear" w:color="auto" w:fill="FFFFFF"/>
              <w:spacing w:line="276" w:lineRule="auto"/>
              <w:jc w:val="both"/>
              <w:rPr>
                <w:sz w:val="22"/>
                <w:szCs w:val="22"/>
              </w:rPr>
            </w:pPr>
            <w:r>
              <w:rPr>
                <w:sz w:val="22"/>
                <w:szCs w:val="22"/>
              </w:rPr>
              <w:t>El derecho fundamental a la salud mental ha sido desarrollado en diferentes instrumentos internacionales con el fin de garantizar y proteger de manera más adecuada y eficiente la población, un ejemplo claro de estos instrumentos es el Bloque de Constitucionalidad.</w:t>
            </w:r>
          </w:p>
        </w:tc>
      </w:tr>
      <w:tr w:rsidR="00CA3231" w14:paraId="0EC48F29" w14:textId="77777777">
        <w:trPr>
          <w:trHeight w:val="1290"/>
        </w:trPr>
        <w:tc>
          <w:tcPr>
            <w:tcW w:w="751"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EC48F27" w14:textId="77777777" w:rsidR="00CA3231" w:rsidRDefault="001017FC">
            <w:pPr>
              <w:spacing w:line="276" w:lineRule="auto"/>
              <w:jc w:val="center"/>
              <w:rPr>
                <w:b/>
                <w:sz w:val="22"/>
                <w:szCs w:val="22"/>
              </w:rPr>
            </w:pPr>
            <w:r>
              <w:rPr>
                <w:b/>
                <w:sz w:val="22"/>
                <w:szCs w:val="22"/>
              </w:rPr>
              <w:t>1993</w:t>
            </w:r>
          </w:p>
        </w:tc>
        <w:tc>
          <w:tcPr>
            <w:tcW w:w="8087" w:type="dxa"/>
            <w:tcBorders>
              <w:top w:val="nil"/>
              <w:left w:val="nil"/>
              <w:bottom w:val="single" w:sz="6" w:space="0" w:color="000000"/>
              <w:right w:val="single" w:sz="6" w:space="0" w:color="000000"/>
            </w:tcBorders>
            <w:tcMar>
              <w:top w:w="0" w:type="dxa"/>
              <w:left w:w="100" w:type="dxa"/>
              <w:bottom w:w="0" w:type="dxa"/>
              <w:right w:w="100" w:type="dxa"/>
            </w:tcMar>
          </w:tcPr>
          <w:p w14:paraId="0EC48F28" w14:textId="77777777" w:rsidR="00CA3231" w:rsidRDefault="001017FC">
            <w:pPr>
              <w:spacing w:line="276" w:lineRule="auto"/>
              <w:jc w:val="both"/>
              <w:rPr>
                <w:sz w:val="22"/>
                <w:szCs w:val="22"/>
              </w:rPr>
            </w:pPr>
            <w:r>
              <w:rPr>
                <w:sz w:val="22"/>
                <w:szCs w:val="22"/>
              </w:rPr>
              <w:t xml:space="preserve">Con la expedición de la </w:t>
            </w:r>
            <w:r>
              <w:rPr>
                <w:b/>
                <w:sz w:val="22"/>
                <w:szCs w:val="22"/>
              </w:rPr>
              <w:t>Ley 100</w:t>
            </w:r>
            <w:r>
              <w:rPr>
                <w:sz w:val="22"/>
                <w:szCs w:val="22"/>
              </w:rPr>
              <w:t xml:space="preserve"> se creó el sistema social integral, como un conjunto de mecanismos que incluyen normas, instituciones y procedimientos que buscan dar cumplimiento a los fines esenciales del Estado, como lo es la protección a los derechos fundamentales, entre ellos, la dignidad humana y la salud.</w:t>
            </w:r>
          </w:p>
        </w:tc>
      </w:tr>
      <w:tr w:rsidR="00CA3231" w14:paraId="0EC48F2D" w14:textId="77777777">
        <w:trPr>
          <w:trHeight w:val="780"/>
        </w:trPr>
        <w:tc>
          <w:tcPr>
            <w:tcW w:w="751"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EC48F2A" w14:textId="77777777" w:rsidR="00CA3231" w:rsidRDefault="001017FC">
            <w:pPr>
              <w:spacing w:line="276" w:lineRule="auto"/>
              <w:jc w:val="center"/>
              <w:rPr>
                <w:b/>
                <w:sz w:val="22"/>
                <w:szCs w:val="22"/>
              </w:rPr>
            </w:pPr>
            <w:r>
              <w:rPr>
                <w:b/>
                <w:sz w:val="22"/>
                <w:szCs w:val="22"/>
              </w:rPr>
              <w:t>2003</w:t>
            </w:r>
          </w:p>
          <w:p w14:paraId="0EC48F2B" w14:textId="77777777" w:rsidR="00CA3231" w:rsidRDefault="001017FC">
            <w:pPr>
              <w:spacing w:line="276" w:lineRule="auto"/>
              <w:rPr>
                <w:sz w:val="22"/>
                <w:szCs w:val="22"/>
              </w:rPr>
            </w:pPr>
            <w:r>
              <w:rPr>
                <w:sz w:val="22"/>
                <w:szCs w:val="22"/>
              </w:rPr>
              <w:t xml:space="preserve"> </w:t>
            </w:r>
          </w:p>
        </w:tc>
        <w:tc>
          <w:tcPr>
            <w:tcW w:w="8087" w:type="dxa"/>
            <w:tcBorders>
              <w:top w:val="nil"/>
              <w:left w:val="nil"/>
              <w:bottom w:val="single" w:sz="6" w:space="0" w:color="000000"/>
              <w:right w:val="single" w:sz="6" w:space="0" w:color="000000"/>
            </w:tcBorders>
            <w:tcMar>
              <w:top w:w="0" w:type="dxa"/>
              <w:left w:w="100" w:type="dxa"/>
              <w:bottom w:w="0" w:type="dxa"/>
              <w:right w:w="100" w:type="dxa"/>
            </w:tcMar>
          </w:tcPr>
          <w:p w14:paraId="0EC48F2C" w14:textId="77777777" w:rsidR="00CA3231" w:rsidRDefault="001017FC">
            <w:pPr>
              <w:spacing w:line="276" w:lineRule="auto"/>
              <w:rPr>
                <w:sz w:val="22"/>
                <w:szCs w:val="22"/>
              </w:rPr>
            </w:pPr>
            <w:r>
              <w:rPr>
                <w:sz w:val="22"/>
                <w:szCs w:val="22"/>
              </w:rPr>
              <w:t xml:space="preserve">Con la </w:t>
            </w:r>
            <w:r>
              <w:rPr>
                <w:b/>
                <w:sz w:val="22"/>
                <w:szCs w:val="22"/>
              </w:rPr>
              <w:t>Ley 823</w:t>
            </w:r>
            <w:r>
              <w:rPr>
                <w:sz w:val="22"/>
                <w:szCs w:val="22"/>
              </w:rPr>
              <w:t xml:space="preserve"> del año referido, el Estado busca generar prevención y protección a las mujeres que han sido víctimas de cualquier tipo de violencia, </w:t>
            </w:r>
            <w:r>
              <w:rPr>
                <w:sz w:val="22"/>
                <w:szCs w:val="22"/>
              </w:rPr>
              <w:lastRenderedPageBreak/>
              <w:t>incrementando el acceso de las mismas a los servicios de salud con un enfoque de cuidado.</w:t>
            </w:r>
          </w:p>
        </w:tc>
      </w:tr>
      <w:tr w:rsidR="00CA3231" w14:paraId="0EC48F30" w14:textId="77777777">
        <w:trPr>
          <w:trHeight w:val="780"/>
        </w:trPr>
        <w:tc>
          <w:tcPr>
            <w:tcW w:w="751"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EC48F2E" w14:textId="77777777" w:rsidR="00CA3231" w:rsidRDefault="001017FC">
            <w:pPr>
              <w:spacing w:line="276" w:lineRule="auto"/>
              <w:jc w:val="center"/>
              <w:rPr>
                <w:b/>
                <w:sz w:val="22"/>
                <w:szCs w:val="22"/>
              </w:rPr>
            </w:pPr>
            <w:r>
              <w:rPr>
                <w:b/>
                <w:sz w:val="22"/>
                <w:szCs w:val="22"/>
              </w:rPr>
              <w:lastRenderedPageBreak/>
              <w:t>2006</w:t>
            </w:r>
          </w:p>
        </w:tc>
        <w:tc>
          <w:tcPr>
            <w:tcW w:w="8087" w:type="dxa"/>
            <w:tcBorders>
              <w:top w:val="nil"/>
              <w:left w:val="nil"/>
              <w:bottom w:val="single" w:sz="6" w:space="0" w:color="000000"/>
              <w:right w:val="single" w:sz="6" w:space="0" w:color="000000"/>
            </w:tcBorders>
            <w:tcMar>
              <w:top w:w="0" w:type="dxa"/>
              <w:left w:w="100" w:type="dxa"/>
              <w:bottom w:w="0" w:type="dxa"/>
              <w:right w:w="100" w:type="dxa"/>
            </w:tcMar>
          </w:tcPr>
          <w:p w14:paraId="0EC48F2F" w14:textId="77777777" w:rsidR="00CA3231" w:rsidRDefault="001017FC">
            <w:pPr>
              <w:spacing w:line="276" w:lineRule="auto"/>
              <w:jc w:val="both"/>
              <w:rPr>
                <w:sz w:val="22"/>
                <w:szCs w:val="22"/>
              </w:rPr>
            </w:pPr>
            <w:r>
              <w:rPr>
                <w:sz w:val="22"/>
                <w:szCs w:val="22"/>
              </w:rPr>
              <w:t xml:space="preserve">El </w:t>
            </w:r>
            <w:r>
              <w:rPr>
                <w:b/>
                <w:sz w:val="22"/>
                <w:szCs w:val="22"/>
              </w:rPr>
              <w:t>Código de Infancia y Adolescencia,</w:t>
            </w:r>
            <w:r>
              <w:rPr>
                <w:sz w:val="22"/>
                <w:szCs w:val="22"/>
              </w:rPr>
              <w:t xml:space="preserve"> garantiza el pleno goce de los derechos fundamentales de los niños, niñas y adolescentes, esté es creado con el fin de proteger con normas no restrictivas a los menores y buscando la felicidad, el amor y la compresión.</w:t>
            </w:r>
          </w:p>
        </w:tc>
      </w:tr>
      <w:tr w:rsidR="00CA3231" w14:paraId="0EC48F33" w14:textId="77777777">
        <w:trPr>
          <w:trHeight w:val="780"/>
        </w:trPr>
        <w:tc>
          <w:tcPr>
            <w:tcW w:w="751"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EC48F31" w14:textId="77777777" w:rsidR="00CA3231" w:rsidRDefault="001017FC">
            <w:pPr>
              <w:spacing w:line="276" w:lineRule="auto"/>
              <w:jc w:val="center"/>
              <w:rPr>
                <w:b/>
                <w:sz w:val="22"/>
                <w:szCs w:val="22"/>
              </w:rPr>
            </w:pPr>
            <w:r>
              <w:rPr>
                <w:b/>
                <w:sz w:val="22"/>
                <w:szCs w:val="22"/>
              </w:rPr>
              <w:t>2008</w:t>
            </w:r>
          </w:p>
        </w:tc>
        <w:tc>
          <w:tcPr>
            <w:tcW w:w="8087" w:type="dxa"/>
            <w:tcBorders>
              <w:top w:val="nil"/>
              <w:left w:val="nil"/>
              <w:bottom w:val="single" w:sz="6" w:space="0" w:color="000000"/>
              <w:right w:val="single" w:sz="6" w:space="0" w:color="000000"/>
            </w:tcBorders>
            <w:tcMar>
              <w:top w:w="0" w:type="dxa"/>
              <w:left w:w="100" w:type="dxa"/>
              <w:bottom w:w="0" w:type="dxa"/>
              <w:right w:w="100" w:type="dxa"/>
            </w:tcMar>
          </w:tcPr>
          <w:p w14:paraId="0EC48F32" w14:textId="77777777" w:rsidR="00CA3231" w:rsidRDefault="001017FC">
            <w:pPr>
              <w:spacing w:line="276" w:lineRule="auto"/>
              <w:jc w:val="both"/>
              <w:rPr>
                <w:sz w:val="22"/>
                <w:szCs w:val="22"/>
              </w:rPr>
            </w:pPr>
            <w:r>
              <w:rPr>
                <w:sz w:val="22"/>
                <w:szCs w:val="22"/>
              </w:rPr>
              <w:t>En la normatividad vigente para la prevención y cuidado de cualquier tipo de violencia en contra de las mujeres, se encuentra la</w:t>
            </w:r>
            <w:r>
              <w:rPr>
                <w:b/>
                <w:sz w:val="22"/>
                <w:szCs w:val="22"/>
              </w:rPr>
              <w:t xml:space="preserve"> Ley 1257 de 2008, </w:t>
            </w:r>
            <w:r>
              <w:rPr>
                <w:sz w:val="22"/>
                <w:szCs w:val="22"/>
              </w:rPr>
              <w:t>la cual tiene el deber de sancionar las diferentes violencias a las cuales están expuestas las mujeres en su diario vivir.</w:t>
            </w:r>
          </w:p>
        </w:tc>
      </w:tr>
      <w:tr w:rsidR="00CA3231" w14:paraId="0EC48F36" w14:textId="77777777">
        <w:trPr>
          <w:trHeight w:val="525"/>
        </w:trPr>
        <w:tc>
          <w:tcPr>
            <w:tcW w:w="751"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EC48F34" w14:textId="77777777" w:rsidR="00CA3231" w:rsidRDefault="001017FC">
            <w:pPr>
              <w:spacing w:line="276" w:lineRule="auto"/>
              <w:jc w:val="center"/>
              <w:rPr>
                <w:b/>
                <w:sz w:val="22"/>
                <w:szCs w:val="22"/>
              </w:rPr>
            </w:pPr>
            <w:r>
              <w:rPr>
                <w:b/>
                <w:sz w:val="22"/>
                <w:szCs w:val="22"/>
              </w:rPr>
              <w:t>2008</w:t>
            </w:r>
          </w:p>
        </w:tc>
        <w:tc>
          <w:tcPr>
            <w:tcW w:w="8087" w:type="dxa"/>
            <w:tcBorders>
              <w:top w:val="nil"/>
              <w:left w:val="nil"/>
              <w:bottom w:val="single" w:sz="6" w:space="0" w:color="000000"/>
              <w:right w:val="single" w:sz="6" w:space="0" w:color="000000"/>
            </w:tcBorders>
            <w:tcMar>
              <w:top w:w="0" w:type="dxa"/>
              <w:left w:w="100" w:type="dxa"/>
              <w:bottom w:w="0" w:type="dxa"/>
              <w:right w:w="100" w:type="dxa"/>
            </w:tcMar>
          </w:tcPr>
          <w:p w14:paraId="0EC48F35" w14:textId="77777777" w:rsidR="00CA3231" w:rsidRDefault="001017FC">
            <w:pPr>
              <w:spacing w:line="276" w:lineRule="auto"/>
              <w:jc w:val="both"/>
              <w:rPr>
                <w:sz w:val="22"/>
                <w:szCs w:val="22"/>
              </w:rPr>
            </w:pPr>
            <w:r>
              <w:rPr>
                <w:sz w:val="22"/>
                <w:szCs w:val="22"/>
              </w:rPr>
              <w:t>La</w:t>
            </w:r>
            <w:r>
              <w:rPr>
                <w:b/>
                <w:sz w:val="22"/>
                <w:szCs w:val="22"/>
              </w:rPr>
              <w:t xml:space="preserve"> Resolución 2646 </w:t>
            </w:r>
            <w:r>
              <w:rPr>
                <w:sz w:val="22"/>
                <w:szCs w:val="22"/>
              </w:rPr>
              <w:t>busca identificar, evaluar y prevenir factores de riesgo psicosocial en el trabajo.</w:t>
            </w:r>
          </w:p>
        </w:tc>
      </w:tr>
      <w:tr w:rsidR="00CA3231" w14:paraId="0EC48F3B" w14:textId="77777777">
        <w:trPr>
          <w:trHeight w:val="1035"/>
        </w:trPr>
        <w:tc>
          <w:tcPr>
            <w:tcW w:w="751"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EC48F37" w14:textId="77777777" w:rsidR="00CA3231" w:rsidRDefault="001017FC">
            <w:pPr>
              <w:spacing w:line="276" w:lineRule="auto"/>
              <w:jc w:val="center"/>
              <w:rPr>
                <w:b/>
                <w:sz w:val="22"/>
                <w:szCs w:val="22"/>
              </w:rPr>
            </w:pPr>
            <w:r>
              <w:rPr>
                <w:b/>
                <w:sz w:val="22"/>
                <w:szCs w:val="22"/>
              </w:rPr>
              <w:t>2011</w:t>
            </w:r>
          </w:p>
        </w:tc>
        <w:tc>
          <w:tcPr>
            <w:tcW w:w="8087" w:type="dxa"/>
            <w:tcBorders>
              <w:top w:val="nil"/>
              <w:left w:val="nil"/>
              <w:bottom w:val="single" w:sz="6" w:space="0" w:color="000000"/>
              <w:right w:val="single" w:sz="6" w:space="0" w:color="000000"/>
            </w:tcBorders>
            <w:tcMar>
              <w:top w:w="0" w:type="dxa"/>
              <w:left w:w="100" w:type="dxa"/>
              <w:bottom w:w="0" w:type="dxa"/>
              <w:right w:w="100" w:type="dxa"/>
            </w:tcMar>
          </w:tcPr>
          <w:p w14:paraId="0EC48F38" w14:textId="77777777" w:rsidR="00CA3231" w:rsidRDefault="001017FC">
            <w:pPr>
              <w:spacing w:line="276" w:lineRule="auto"/>
              <w:jc w:val="both"/>
              <w:rPr>
                <w:sz w:val="22"/>
                <w:szCs w:val="22"/>
              </w:rPr>
            </w:pPr>
            <w:r>
              <w:rPr>
                <w:sz w:val="22"/>
                <w:szCs w:val="22"/>
              </w:rPr>
              <w:t>El nacimiento a la vida jurídica de la</w:t>
            </w:r>
            <w:r>
              <w:rPr>
                <w:b/>
                <w:sz w:val="22"/>
                <w:szCs w:val="22"/>
              </w:rPr>
              <w:t xml:space="preserve"> Ley 1448 </w:t>
            </w:r>
            <w:r>
              <w:rPr>
                <w:sz w:val="22"/>
                <w:szCs w:val="22"/>
              </w:rPr>
              <w:t xml:space="preserve">trae consigo la creación de </w:t>
            </w:r>
            <w:r>
              <w:rPr>
                <w:b/>
                <w:sz w:val="22"/>
                <w:szCs w:val="22"/>
              </w:rPr>
              <w:t>servicios de ayuda a la salud mental</w:t>
            </w:r>
            <w:r>
              <w:rPr>
                <w:sz w:val="22"/>
                <w:szCs w:val="22"/>
              </w:rPr>
              <w:t xml:space="preserve"> de la población, generando espacios en donde se encuentran profesionales en psicología y psiquiatría, que tiene como fin garantizar el adecuado desarrollo de la integralidad de la población. </w:t>
            </w:r>
          </w:p>
          <w:p w14:paraId="0EC48F39" w14:textId="77777777" w:rsidR="00CA3231" w:rsidRDefault="00CA3231">
            <w:pPr>
              <w:spacing w:line="276" w:lineRule="auto"/>
              <w:jc w:val="both"/>
              <w:rPr>
                <w:sz w:val="22"/>
                <w:szCs w:val="22"/>
              </w:rPr>
            </w:pPr>
          </w:p>
          <w:p w14:paraId="0EC48F3A" w14:textId="77777777" w:rsidR="00CA3231" w:rsidRDefault="001017FC">
            <w:pPr>
              <w:spacing w:line="276" w:lineRule="auto"/>
              <w:jc w:val="both"/>
              <w:rPr>
                <w:sz w:val="22"/>
                <w:szCs w:val="22"/>
              </w:rPr>
            </w:pPr>
            <w:r>
              <w:rPr>
                <w:sz w:val="22"/>
                <w:szCs w:val="22"/>
              </w:rPr>
              <w:t xml:space="preserve">El </w:t>
            </w:r>
            <w:r>
              <w:rPr>
                <w:b/>
                <w:sz w:val="22"/>
                <w:szCs w:val="22"/>
              </w:rPr>
              <w:t>Decreto 4800</w:t>
            </w:r>
            <w:r>
              <w:rPr>
                <w:sz w:val="22"/>
                <w:szCs w:val="22"/>
              </w:rPr>
              <w:t xml:space="preserve"> “Por el cual se reglamenta la Ley </w:t>
            </w:r>
            <w:hyperlink r:id="rId8" w:anchor="0">
              <w:r>
                <w:rPr>
                  <w:sz w:val="22"/>
                  <w:szCs w:val="22"/>
                </w:rPr>
                <w:t>1448</w:t>
              </w:r>
            </w:hyperlink>
            <w:r>
              <w:rPr>
                <w:sz w:val="22"/>
                <w:szCs w:val="22"/>
              </w:rPr>
              <w:t xml:space="preserve"> de 2011 y se dictan otras disposiciones” y que da vida al Programa de atención psicosocial y salud integral a víctimas.</w:t>
            </w:r>
          </w:p>
        </w:tc>
      </w:tr>
      <w:tr w:rsidR="00CA3231" w14:paraId="0EC48F40" w14:textId="77777777">
        <w:trPr>
          <w:trHeight w:val="1800"/>
        </w:trPr>
        <w:tc>
          <w:tcPr>
            <w:tcW w:w="751"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EC48F3C" w14:textId="77777777" w:rsidR="00CA3231" w:rsidRDefault="001017FC">
            <w:pPr>
              <w:spacing w:line="276" w:lineRule="auto"/>
              <w:jc w:val="center"/>
              <w:rPr>
                <w:b/>
                <w:sz w:val="22"/>
                <w:szCs w:val="22"/>
              </w:rPr>
            </w:pPr>
            <w:r>
              <w:rPr>
                <w:b/>
                <w:sz w:val="22"/>
                <w:szCs w:val="22"/>
              </w:rPr>
              <w:t>2013</w:t>
            </w:r>
          </w:p>
        </w:tc>
        <w:tc>
          <w:tcPr>
            <w:tcW w:w="8087" w:type="dxa"/>
            <w:tcBorders>
              <w:top w:val="nil"/>
              <w:left w:val="nil"/>
              <w:bottom w:val="single" w:sz="6" w:space="0" w:color="000000"/>
              <w:right w:val="single" w:sz="6" w:space="0" w:color="000000"/>
            </w:tcBorders>
            <w:tcMar>
              <w:top w:w="0" w:type="dxa"/>
              <w:left w:w="100" w:type="dxa"/>
              <w:bottom w:w="0" w:type="dxa"/>
              <w:right w:w="100" w:type="dxa"/>
            </w:tcMar>
          </w:tcPr>
          <w:p w14:paraId="0EC48F3D" w14:textId="77777777" w:rsidR="00CA3231" w:rsidRDefault="001017FC">
            <w:pPr>
              <w:spacing w:line="276" w:lineRule="auto"/>
              <w:jc w:val="both"/>
              <w:rPr>
                <w:sz w:val="22"/>
                <w:szCs w:val="22"/>
              </w:rPr>
            </w:pPr>
            <w:r>
              <w:rPr>
                <w:sz w:val="22"/>
                <w:szCs w:val="22"/>
              </w:rPr>
              <w:t>La vigencia de las</w:t>
            </w:r>
            <w:r>
              <w:rPr>
                <w:b/>
                <w:sz w:val="22"/>
                <w:szCs w:val="22"/>
              </w:rPr>
              <w:t xml:space="preserve"> Leyes 1616 y 1639 </w:t>
            </w:r>
            <w:r>
              <w:rPr>
                <w:sz w:val="22"/>
                <w:szCs w:val="22"/>
              </w:rPr>
              <w:t>tienen como enfoque fundamental la salud pública, el bienestar general de las personas, el mejoramiento de la calidad de vida y la atención integral a las víctimas de crímenes con ácido, álcalis o sustancias similares o corrosivas que generen daño.</w:t>
            </w:r>
          </w:p>
          <w:p w14:paraId="0EC48F3E" w14:textId="77777777" w:rsidR="00CA3231" w:rsidRDefault="00CA3231">
            <w:pPr>
              <w:spacing w:line="276" w:lineRule="auto"/>
              <w:jc w:val="both"/>
              <w:rPr>
                <w:b/>
                <w:sz w:val="22"/>
                <w:szCs w:val="22"/>
              </w:rPr>
            </w:pPr>
          </w:p>
          <w:p w14:paraId="0EC48F3F" w14:textId="77777777" w:rsidR="00CA3231" w:rsidRDefault="001017FC">
            <w:pPr>
              <w:spacing w:line="276" w:lineRule="auto"/>
              <w:jc w:val="both"/>
              <w:rPr>
                <w:b/>
                <w:sz w:val="22"/>
                <w:szCs w:val="22"/>
              </w:rPr>
            </w:pPr>
            <w:r>
              <w:rPr>
                <w:sz w:val="22"/>
                <w:szCs w:val="22"/>
              </w:rPr>
              <w:t xml:space="preserve">Cabe resaltar, la </w:t>
            </w:r>
            <w:r>
              <w:rPr>
                <w:b/>
                <w:sz w:val="22"/>
                <w:szCs w:val="22"/>
              </w:rPr>
              <w:t xml:space="preserve">Ley 1616 establece la salud mental como un bien de interés y PRIORIDAD NACIONAL, es un derecho fundamental y un tema PRIORITARIO DE SALÚD PÚBLICA. </w:t>
            </w:r>
          </w:p>
        </w:tc>
      </w:tr>
      <w:tr w:rsidR="00CA3231" w14:paraId="0EC48F43" w14:textId="77777777">
        <w:trPr>
          <w:trHeight w:val="525"/>
        </w:trPr>
        <w:tc>
          <w:tcPr>
            <w:tcW w:w="751"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EC48F41" w14:textId="77777777" w:rsidR="00CA3231" w:rsidRDefault="001017FC">
            <w:pPr>
              <w:spacing w:line="276" w:lineRule="auto"/>
              <w:jc w:val="center"/>
              <w:rPr>
                <w:b/>
                <w:sz w:val="22"/>
                <w:szCs w:val="22"/>
              </w:rPr>
            </w:pPr>
            <w:r>
              <w:rPr>
                <w:b/>
                <w:sz w:val="22"/>
                <w:szCs w:val="22"/>
              </w:rPr>
              <w:t>2014</w:t>
            </w:r>
          </w:p>
        </w:tc>
        <w:tc>
          <w:tcPr>
            <w:tcW w:w="8087" w:type="dxa"/>
            <w:tcBorders>
              <w:top w:val="nil"/>
              <w:left w:val="nil"/>
              <w:bottom w:val="single" w:sz="6" w:space="0" w:color="000000"/>
              <w:right w:val="single" w:sz="6" w:space="0" w:color="000000"/>
            </w:tcBorders>
            <w:tcMar>
              <w:top w:w="0" w:type="dxa"/>
              <w:left w:w="100" w:type="dxa"/>
              <w:bottom w:w="0" w:type="dxa"/>
              <w:right w:w="100" w:type="dxa"/>
            </w:tcMar>
          </w:tcPr>
          <w:p w14:paraId="0EC48F42" w14:textId="77777777" w:rsidR="00CA3231" w:rsidRDefault="001017FC">
            <w:pPr>
              <w:spacing w:line="276" w:lineRule="auto"/>
              <w:jc w:val="both"/>
              <w:rPr>
                <w:sz w:val="22"/>
                <w:szCs w:val="22"/>
              </w:rPr>
            </w:pPr>
            <w:r>
              <w:rPr>
                <w:sz w:val="22"/>
                <w:szCs w:val="22"/>
              </w:rPr>
              <w:t xml:space="preserve">Con el nacimiento del </w:t>
            </w:r>
            <w:r>
              <w:rPr>
                <w:b/>
                <w:sz w:val="22"/>
                <w:szCs w:val="22"/>
              </w:rPr>
              <w:t xml:space="preserve">Decreto 1477 </w:t>
            </w:r>
            <w:r>
              <w:rPr>
                <w:sz w:val="22"/>
                <w:szCs w:val="22"/>
              </w:rPr>
              <w:t>expedida por el Ministerio de Trabajo, se dictaminan las nuevas enfermedades laborales.</w:t>
            </w:r>
          </w:p>
        </w:tc>
      </w:tr>
      <w:tr w:rsidR="00CA3231" w14:paraId="0EC48F47" w14:textId="77777777">
        <w:trPr>
          <w:trHeight w:val="1290"/>
        </w:trPr>
        <w:tc>
          <w:tcPr>
            <w:tcW w:w="751"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EC48F44" w14:textId="77777777" w:rsidR="00CA3231" w:rsidRDefault="001017FC">
            <w:pPr>
              <w:spacing w:line="276" w:lineRule="auto"/>
              <w:jc w:val="center"/>
              <w:rPr>
                <w:b/>
                <w:sz w:val="22"/>
                <w:szCs w:val="22"/>
              </w:rPr>
            </w:pPr>
            <w:r>
              <w:rPr>
                <w:b/>
                <w:sz w:val="22"/>
                <w:szCs w:val="22"/>
              </w:rPr>
              <w:t>2015</w:t>
            </w:r>
          </w:p>
        </w:tc>
        <w:tc>
          <w:tcPr>
            <w:tcW w:w="8087" w:type="dxa"/>
            <w:tcBorders>
              <w:top w:val="nil"/>
              <w:left w:val="nil"/>
              <w:bottom w:val="single" w:sz="6" w:space="0" w:color="000000"/>
              <w:right w:val="single" w:sz="6" w:space="0" w:color="000000"/>
            </w:tcBorders>
            <w:tcMar>
              <w:top w:w="0" w:type="dxa"/>
              <w:left w:w="100" w:type="dxa"/>
              <w:bottom w:w="0" w:type="dxa"/>
              <w:right w:w="100" w:type="dxa"/>
            </w:tcMar>
          </w:tcPr>
          <w:p w14:paraId="0EC48F45" w14:textId="77777777" w:rsidR="00CA3231" w:rsidRDefault="001017FC">
            <w:pPr>
              <w:spacing w:line="276" w:lineRule="auto"/>
              <w:jc w:val="both"/>
              <w:rPr>
                <w:sz w:val="22"/>
                <w:szCs w:val="22"/>
              </w:rPr>
            </w:pPr>
            <w:r>
              <w:rPr>
                <w:sz w:val="22"/>
                <w:szCs w:val="22"/>
              </w:rPr>
              <w:t>Con la expedición de la</w:t>
            </w:r>
            <w:r>
              <w:rPr>
                <w:b/>
                <w:sz w:val="22"/>
                <w:szCs w:val="22"/>
              </w:rPr>
              <w:t xml:space="preserve"> Ley 1751 </w:t>
            </w:r>
            <w:r>
              <w:rPr>
                <w:sz w:val="22"/>
                <w:szCs w:val="22"/>
              </w:rPr>
              <w:t>se busca garantizar y regular el derecho fundamental a la Salud, atribuyéndole un valor autónomo e irrenunciable, con el fin de dar acceso a los servicios de manera oportuna, eficaz y segura.</w:t>
            </w:r>
          </w:p>
          <w:p w14:paraId="0EC48F46" w14:textId="77777777" w:rsidR="00CA3231" w:rsidRDefault="001017FC">
            <w:pPr>
              <w:spacing w:line="276" w:lineRule="auto"/>
              <w:jc w:val="both"/>
              <w:rPr>
                <w:sz w:val="22"/>
                <w:szCs w:val="22"/>
              </w:rPr>
            </w:pPr>
            <w:r>
              <w:rPr>
                <w:sz w:val="22"/>
                <w:szCs w:val="22"/>
              </w:rPr>
              <w:br/>
              <w:t>El Estado tiene la obligación de propender por el adecuado desarrollo de este derecho, además de asegurar la igualdad de trato para la población.</w:t>
            </w:r>
          </w:p>
        </w:tc>
      </w:tr>
      <w:tr w:rsidR="00CA3231" w14:paraId="0EC48F4A" w14:textId="77777777">
        <w:trPr>
          <w:trHeight w:val="780"/>
        </w:trPr>
        <w:tc>
          <w:tcPr>
            <w:tcW w:w="751"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EC48F48" w14:textId="77777777" w:rsidR="00CA3231" w:rsidRDefault="001017FC">
            <w:pPr>
              <w:spacing w:line="276" w:lineRule="auto"/>
              <w:jc w:val="center"/>
              <w:rPr>
                <w:b/>
                <w:sz w:val="22"/>
                <w:szCs w:val="22"/>
              </w:rPr>
            </w:pPr>
            <w:r>
              <w:rPr>
                <w:b/>
                <w:sz w:val="22"/>
                <w:szCs w:val="22"/>
              </w:rPr>
              <w:t>2016</w:t>
            </w:r>
          </w:p>
        </w:tc>
        <w:tc>
          <w:tcPr>
            <w:tcW w:w="8087" w:type="dxa"/>
            <w:tcBorders>
              <w:top w:val="nil"/>
              <w:left w:val="nil"/>
              <w:bottom w:val="single" w:sz="6" w:space="0" w:color="000000"/>
              <w:right w:val="single" w:sz="6" w:space="0" w:color="000000"/>
            </w:tcBorders>
            <w:tcMar>
              <w:top w:w="0" w:type="dxa"/>
              <w:left w:w="100" w:type="dxa"/>
              <w:bottom w:w="0" w:type="dxa"/>
              <w:right w:w="100" w:type="dxa"/>
            </w:tcMar>
          </w:tcPr>
          <w:p w14:paraId="0EC48F49" w14:textId="77777777" w:rsidR="00CA3231" w:rsidRDefault="001017FC">
            <w:pPr>
              <w:spacing w:line="276" w:lineRule="auto"/>
              <w:jc w:val="both"/>
              <w:rPr>
                <w:sz w:val="22"/>
                <w:szCs w:val="22"/>
              </w:rPr>
            </w:pPr>
            <w:r>
              <w:rPr>
                <w:sz w:val="22"/>
                <w:szCs w:val="22"/>
              </w:rPr>
              <w:t xml:space="preserve">El ministerio de Salud por medio de la </w:t>
            </w:r>
            <w:r>
              <w:rPr>
                <w:b/>
                <w:sz w:val="22"/>
                <w:szCs w:val="22"/>
              </w:rPr>
              <w:t>Política de atención integral</w:t>
            </w:r>
            <w:r>
              <w:rPr>
                <w:sz w:val="22"/>
                <w:szCs w:val="22"/>
              </w:rPr>
              <w:t>, busca mejorar las condiciones de Salud para la población y adoptar medidas para el adecuado desarrollo del mejoramiento y la promoción de la referida.</w:t>
            </w:r>
          </w:p>
        </w:tc>
      </w:tr>
      <w:tr w:rsidR="00CA3231" w14:paraId="0EC48F4D" w14:textId="77777777">
        <w:trPr>
          <w:trHeight w:val="270"/>
        </w:trPr>
        <w:tc>
          <w:tcPr>
            <w:tcW w:w="751"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EC48F4B" w14:textId="77777777" w:rsidR="00CA3231" w:rsidRDefault="001017FC">
            <w:pPr>
              <w:spacing w:line="276" w:lineRule="auto"/>
              <w:jc w:val="center"/>
              <w:rPr>
                <w:b/>
                <w:sz w:val="22"/>
                <w:szCs w:val="22"/>
              </w:rPr>
            </w:pPr>
            <w:r>
              <w:rPr>
                <w:b/>
                <w:sz w:val="22"/>
                <w:szCs w:val="22"/>
              </w:rPr>
              <w:t>2018</w:t>
            </w:r>
          </w:p>
        </w:tc>
        <w:tc>
          <w:tcPr>
            <w:tcW w:w="8087" w:type="dxa"/>
            <w:tcBorders>
              <w:top w:val="nil"/>
              <w:left w:val="nil"/>
              <w:bottom w:val="single" w:sz="6" w:space="0" w:color="000000"/>
              <w:right w:val="single" w:sz="6" w:space="0" w:color="000000"/>
            </w:tcBorders>
            <w:tcMar>
              <w:top w:w="0" w:type="dxa"/>
              <w:left w:w="100" w:type="dxa"/>
              <w:bottom w:w="0" w:type="dxa"/>
              <w:right w:w="100" w:type="dxa"/>
            </w:tcMar>
          </w:tcPr>
          <w:p w14:paraId="0EC48F4C" w14:textId="77777777" w:rsidR="00CA3231" w:rsidRDefault="001017FC">
            <w:pPr>
              <w:spacing w:line="276" w:lineRule="auto"/>
              <w:jc w:val="both"/>
              <w:rPr>
                <w:b/>
                <w:sz w:val="22"/>
                <w:szCs w:val="22"/>
              </w:rPr>
            </w:pPr>
            <w:r>
              <w:rPr>
                <w:sz w:val="22"/>
                <w:szCs w:val="22"/>
              </w:rPr>
              <w:t xml:space="preserve">El Ministerio de Salud y Protección Social adopta la </w:t>
            </w:r>
            <w:r>
              <w:rPr>
                <w:b/>
                <w:sz w:val="22"/>
                <w:szCs w:val="22"/>
              </w:rPr>
              <w:t>Política de Salud Mental.</w:t>
            </w:r>
          </w:p>
        </w:tc>
      </w:tr>
      <w:tr w:rsidR="00CA3231" w14:paraId="0EC48F50" w14:textId="77777777">
        <w:trPr>
          <w:trHeight w:val="2055"/>
        </w:trPr>
        <w:tc>
          <w:tcPr>
            <w:tcW w:w="751"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EC48F4E" w14:textId="77777777" w:rsidR="00CA3231" w:rsidRDefault="001017FC">
            <w:pPr>
              <w:spacing w:line="276" w:lineRule="auto"/>
              <w:jc w:val="center"/>
              <w:rPr>
                <w:b/>
                <w:sz w:val="22"/>
                <w:szCs w:val="22"/>
              </w:rPr>
            </w:pPr>
            <w:r>
              <w:rPr>
                <w:b/>
                <w:sz w:val="22"/>
                <w:szCs w:val="22"/>
              </w:rPr>
              <w:t>2019</w:t>
            </w:r>
          </w:p>
        </w:tc>
        <w:tc>
          <w:tcPr>
            <w:tcW w:w="8087" w:type="dxa"/>
            <w:tcBorders>
              <w:top w:val="nil"/>
              <w:left w:val="nil"/>
              <w:bottom w:val="single" w:sz="6" w:space="0" w:color="000000"/>
              <w:right w:val="single" w:sz="6" w:space="0" w:color="000000"/>
            </w:tcBorders>
            <w:tcMar>
              <w:top w:w="0" w:type="dxa"/>
              <w:left w:w="100" w:type="dxa"/>
              <w:bottom w:w="0" w:type="dxa"/>
              <w:right w:w="100" w:type="dxa"/>
            </w:tcMar>
          </w:tcPr>
          <w:p w14:paraId="0EC48F4F" w14:textId="77777777" w:rsidR="00CA3231" w:rsidRDefault="001017FC">
            <w:pPr>
              <w:spacing w:line="276" w:lineRule="auto"/>
              <w:jc w:val="both"/>
              <w:rPr>
                <w:sz w:val="22"/>
                <w:szCs w:val="22"/>
              </w:rPr>
            </w:pPr>
            <w:r>
              <w:rPr>
                <w:sz w:val="22"/>
                <w:szCs w:val="22"/>
              </w:rPr>
              <w:t>En este año se da un acontecimiento relevante e importante, debido a que se</w:t>
            </w:r>
            <w:r>
              <w:rPr>
                <w:b/>
                <w:sz w:val="22"/>
                <w:szCs w:val="22"/>
              </w:rPr>
              <w:t xml:space="preserve"> modifica la  Política de Atención Integral de Salud y se adopta el Modelo Integral Territorial, </w:t>
            </w:r>
            <w:r>
              <w:rPr>
                <w:sz w:val="22"/>
                <w:szCs w:val="22"/>
              </w:rPr>
              <w:t>que tiene como fin que las Empresas Administradoras de Planes de Beneficio, las Instituciones Prestadoras de Servicios de Salud sean las responsables de la implementación del modelo, debido a que tienen a cargo acciones en salud relacionadas con la promoción, mantenimiento de la salud, priorización de la salud, además, de dar un enfoque diferencial y permitir que las víctimas de ataques con sustancias o agentes químicos estén priorizados en el acceso al trabajo.</w:t>
            </w:r>
          </w:p>
        </w:tc>
      </w:tr>
      <w:tr w:rsidR="00CA3231" w14:paraId="0EC48F53" w14:textId="77777777">
        <w:trPr>
          <w:trHeight w:val="1290"/>
        </w:trPr>
        <w:tc>
          <w:tcPr>
            <w:tcW w:w="751"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EC48F51" w14:textId="77777777" w:rsidR="00CA3231" w:rsidRDefault="001017FC">
            <w:pPr>
              <w:spacing w:line="276" w:lineRule="auto"/>
              <w:rPr>
                <w:b/>
                <w:sz w:val="22"/>
                <w:szCs w:val="22"/>
              </w:rPr>
            </w:pPr>
            <w:r>
              <w:rPr>
                <w:b/>
                <w:sz w:val="22"/>
                <w:szCs w:val="22"/>
              </w:rPr>
              <w:t>2020</w:t>
            </w:r>
          </w:p>
        </w:tc>
        <w:tc>
          <w:tcPr>
            <w:tcW w:w="8087" w:type="dxa"/>
            <w:tcBorders>
              <w:top w:val="nil"/>
              <w:left w:val="nil"/>
              <w:bottom w:val="single" w:sz="6" w:space="0" w:color="000000"/>
              <w:right w:val="single" w:sz="6" w:space="0" w:color="000000"/>
            </w:tcBorders>
            <w:tcMar>
              <w:top w:w="0" w:type="dxa"/>
              <w:left w:w="100" w:type="dxa"/>
              <w:bottom w:w="0" w:type="dxa"/>
              <w:right w:w="100" w:type="dxa"/>
            </w:tcMar>
          </w:tcPr>
          <w:p w14:paraId="0EC48F52" w14:textId="77777777" w:rsidR="00CA3231" w:rsidRDefault="001017FC">
            <w:pPr>
              <w:spacing w:line="276" w:lineRule="auto"/>
              <w:jc w:val="both"/>
              <w:rPr>
                <w:b/>
                <w:sz w:val="22"/>
                <w:szCs w:val="22"/>
              </w:rPr>
            </w:pPr>
            <w:r>
              <w:rPr>
                <w:b/>
                <w:sz w:val="22"/>
                <w:szCs w:val="22"/>
              </w:rPr>
              <w:t xml:space="preserve">CONPES 3992 </w:t>
            </w:r>
            <w:r>
              <w:rPr>
                <w:sz w:val="22"/>
                <w:szCs w:val="22"/>
              </w:rPr>
              <w:t>del Consejo Nacional de Política Económica y Social República de Colombia del Departamento Nacional De Planeación cuyo objetivo general es</w:t>
            </w:r>
            <w:r>
              <w:rPr>
                <w:b/>
                <w:sz w:val="22"/>
                <w:szCs w:val="22"/>
              </w:rPr>
              <w:t xml:space="preserve"> promover la Salud Mental a través del fortalecimiento de entornos sociales, el desarrollo de capacidades individuales y colectivas, el incremento de la coordinación intersectorial y el mejoramiento de la atención en Salud Mental.</w:t>
            </w:r>
          </w:p>
        </w:tc>
      </w:tr>
      <w:tr w:rsidR="00CA3231" w14:paraId="0EC48F56" w14:textId="77777777">
        <w:trPr>
          <w:trHeight w:val="1035"/>
        </w:trPr>
        <w:tc>
          <w:tcPr>
            <w:tcW w:w="751"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EC48F54" w14:textId="77777777" w:rsidR="00CA3231" w:rsidRDefault="001017FC">
            <w:pPr>
              <w:spacing w:line="276" w:lineRule="auto"/>
              <w:rPr>
                <w:b/>
                <w:sz w:val="22"/>
                <w:szCs w:val="22"/>
              </w:rPr>
            </w:pPr>
            <w:r>
              <w:rPr>
                <w:b/>
                <w:sz w:val="22"/>
                <w:szCs w:val="22"/>
              </w:rPr>
              <w:t>2020</w:t>
            </w:r>
          </w:p>
        </w:tc>
        <w:tc>
          <w:tcPr>
            <w:tcW w:w="8087" w:type="dxa"/>
            <w:tcBorders>
              <w:top w:val="nil"/>
              <w:left w:val="nil"/>
              <w:bottom w:val="single" w:sz="6" w:space="0" w:color="000000"/>
              <w:right w:val="single" w:sz="6" w:space="0" w:color="000000"/>
            </w:tcBorders>
            <w:tcMar>
              <w:top w:w="0" w:type="dxa"/>
              <w:left w:w="100" w:type="dxa"/>
              <w:bottom w:w="0" w:type="dxa"/>
              <w:right w:w="100" w:type="dxa"/>
            </w:tcMar>
          </w:tcPr>
          <w:p w14:paraId="0EC48F55" w14:textId="77777777" w:rsidR="00CA3231" w:rsidRDefault="001017FC">
            <w:pPr>
              <w:spacing w:line="276" w:lineRule="auto"/>
              <w:jc w:val="both"/>
              <w:rPr>
                <w:sz w:val="22"/>
                <w:szCs w:val="22"/>
              </w:rPr>
            </w:pPr>
            <w:r>
              <w:rPr>
                <w:sz w:val="22"/>
                <w:szCs w:val="22"/>
              </w:rPr>
              <w:t xml:space="preserve">La </w:t>
            </w:r>
            <w:r>
              <w:rPr>
                <w:b/>
                <w:sz w:val="22"/>
                <w:szCs w:val="22"/>
              </w:rPr>
              <w:t xml:space="preserve">Circular 0064 </w:t>
            </w:r>
            <w:r>
              <w:rPr>
                <w:sz w:val="22"/>
                <w:szCs w:val="22"/>
              </w:rPr>
              <w:t>expedida por el Ministerio del Trabajo establece acciones mínimas de evaluación e intervención de los factores de riesgo psicosocial, promoción de la salud mental, prevención de problemas y trastornos mentales de los trabajadores en el marco de (Covid-19).</w:t>
            </w:r>
          </w:p>
        </w:tc>
      </w:tr>
    </w:tbl>
    <w:p w14:paraId="0EC48F57" w14:textId="77777777" w:rsidR="00CA3231" w:rsidRDefault="00CA3231">
      <w:pPr>
        <w:spacing w:after="160" w:line="256" w:lineRule="auto"/>
        <w:rPr>
          <w:b/>
          <w:sz w:val="22"/>
          <w:szCs w:val="22"/>
        </w:rPr>
      </w:pPr>
    </w:p>
    <w:p w14:paraId="0EC48F58" w14:textId="77777777" w:rsidR="00CA3231" w:rsidRDefault="001017FC">
      <w:pPr>
        <w:spacing w:after="160" w:line="256" w:lineRule="auto"/>
        <w:jc w:val="center"/>
        <w:rPr>
          <w:sz w:val="22"/>
          <w:szCs w:val="22"/>
        </w:rPr>
      </w:pPr>
      <w:r>
        <w:rPr>
          <w:b/>
          <w:sz w:val="22"/>
          <w:szCs w:val="22"/>
        </w:rPr>
        <w:t xml:space="preserve">Tabla no. 2 </w:t>
      </w:r>
      <w:r>
        <w:rPr>
          <w:sz w:val="22"/>
          <w:szCs w:val="22"/>
        </w:rPr>
        <w:t>Normas de orden distrital</w:t>
      </w:r>
    </w:p>
    <w:tbl>
      <w:tblPr>
        <w:tblStyle w:val="af"/>
        <w:tblW w:w="8838"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01"/>
        <w:gridCol w:w="7937"/>
      </w:tblGrid>
      <w:tr w:rsidR="00CA3231" w14:paraId="0EC48F5B" w14:textId="77777777">
        <w:trPr>
          <w:trHeight w:val="270"/>
        </w:trPr>
        <w:tc>
          <w:tcPr>
            <w:tcW w:w="901"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0EC48F59" w14:textId="77777777" w:rsidR="00CA3231" w:rsidRDefault="001017FC">
            <w:pPr>
              <w:spacing w:line="276" w:lineRule="auto"/>
              <w:jc w:val="center"/>
              <w:rPr>
                <w:b/>
                <w:sz w:val="22"/>
                <w:szCs w:val="22"/>
              </w:rPr>
            </w:pPr>
            <w:r>
              <w:rPr>
                <w:b/>
                <w:sz w:val="22"/>
                <w:szCs w:val="22"/>
              </w:rPr>
              <w:t>AÑO</w:t>
            </w:r>
          </w:p>
        </w:tc>
        <w:tc>
          <w:tcPr>
            <w:tcW w:w="7937"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EC48F5A" w14:textId="77777777" w:rsidR="00CA3231" w:rsidRDefault="001017FC">
            <w:pPr>
              <w:spacing w:line="276" w:lineRule="auto"/>
              <w:jc w:val="center"/>
              <w:rPr>
                <w:b/>
                <w:sz w:val="22"/>
                <w:szCs w:val="22"/>
              </w:rPr>
            </w:pPr>
            <w:r>
              <w:rPr>
                <w:b/>
                <w:sz w:val="22"/>
                <w:szCs w:val="22"/>
              </w:rPr>
              <w:t>NORMAS DE ORDEN DISTRITAL</w:t>
            </w:r>
          </w:p>
        </w:tc>
      </w:tr>
      <w:tr w:rsidR="00CA3231" w14:paraId="0EC48F61" w14:textId="77777777">
        <w:trPr>
          <w:trHeight w:val="1800"/>
        </w:trPr>
        <w:tc>
          <w:tcPr>
            <w:tcW w:w="901"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EC48F5C" w14:textId="77777777" w:rsidR="00CA3231" w:rsidRDefault="001017FC">
            <w:pPr>
              <w:shd w:val="clear" w:color="auto" w:fill="FFFFFF"/>
              <w:spacing w:line="276" w:lineRule="auto"/>
              <w:jc w:val="both"/>
              <w:rPr>
                <w:b/>
                <w:i/>
                <w:sz w:val="22"/>
                <w:szCs w:val="22"/>
              </w:rPr>
            </w:pPr>
            <w:r>
              <w:rPr>
                <w:b/>
                <w:i/>
                <w:sz w:val="22"/>
                <w:szCs w:val="22"/>
              </w:rPr>
              <w:t xml:space="preserve"> </w:t>
            </w:r>
          </w:p>
          <w:p w14:paraId="0EC48F5D" w14:textId="77777777" w:rsidR="00CA3231" w:rsidRDefault="001017FC">
            <w:pPr>
              <w:spacing w:line="276" w:lineRule="auto"/>
              <w:jc w:val="center"/>
              <w:rPr>
                <w:b/>
                <w:sz w:val="22"/>
                <w:szCs w:val="22"/>
              </w:rPr>
            </w:pPr>
            <w:r>
              <w:rPr>
                <w:b/>
                <w:sz w:val="22"/>
                <w:szCs w:val="22"/>
              </w:rPr>
              <w:t>2006</w:t>
            </w:r>
          </w:p>
        </w:tc>
        <w:tc>
          <w:tcPr>
            <w:tcW w:w="7937" w:type="dxa"/>
            <w:tcBorders>
              <w:top w:val="nil"/>
              <w:left w:val="nil"/>
              <w:bottom w:val="single" w:sz="6" w:space="0" w:color="000000"/>
              <w:right w:val="single" w:sz="6" w:space="0" w:color="000000"/>
            </w:tcBorders>
            <w:tcMar>
              <w:top w:w="0" w:type="dxa"/>
              <w:left w:w="100" w:type="dxa"/>
              <w:bottom w:w="0" w:type="dxa"/>
              <w:right w:w="100" w:type="dxa"/>
            </w:tcMar>
          </w:tcPr>
          <w:p w14:paraId="0EC48F5E" w14:textId="77777777" w:rsidR="00CA3231" w:rsidRDefault="001017FC">
            <w:pPr>
              <w:spacing w:line="276" w:lineRule="auto"/>
              <w:jc w:val="both"/>
              <w:rPr>
                <w:sz w:val="22"/>
                <w:szCs w:val="22"/>
              </w:rPr>
            </w:pPr>
            <w:r>
              <w:rPr>
                <w:sz w:val="22"/>
                <w:szCs w:val="22"/>
              </w:rPr>
              <w:t xml:space="preserve">En la normatividad distrital se encuentra consagrado el </w:t>
            </w:r>
            <w:r>
              <w:rPr>
                <w:b/>
                <w:sz w:val="22"/>
                <w:szCs w:val="22"/>
              </w:rPr>
              <w:t xml:space="preserve">Acuerdo 257, </w:t>
            </w:r>
            <w:r>
              <w:rPr>
                <w:sz w:val="22"/>
                <w:szCs w:val="22"/>
              </w:rPr>
              <w:t>en el cual se plantea la directriz y la hoja de ruta respecto del funcionamiento de los organismos y las entidades públicas de Bogotá.</w:t>
            </w:r>
          </w:p>
          <w:p w14:paraId="0EC48F5F" w14:textId="77777777" w:rsidR="00CA3231" w:rsidRDefault="00CA3231">
            <w:pPr>
              <w:spacing w:line="276" w:lineRule="auto"/>
              <w:jc w:val="both"/>
              <w:rPr>
                <w:b/>
                <w:sz w:val="22"/>
                <w:szCs w:val="22"/>
              </w:rPr>
            </w:pPr>
          </w:p>
          <w:p w14:paraId="0EC48F60" w14:textId="77777777" w:rsidR="00CA3231" w:rsidRDefault="001017FC">
            <w:pPr>
              <w:spacing w:line="276" w:lineRule="auto"/>
              <w:jc w:val="both"/>
              <w:rPr>
                <w:sz w:val="22"/>
                <w:szCs w:val="22"/>
              </w:rPr>
            </w:pPr>
            <w:r>
              <w:rPr>
                <w:sz w:val="22"/>
                <w:szCs w:val="22"/>
              </w:rPr>
              <w:t>Cabe resaltar que la importancia y el fin esencial de este acuerdo es delimitar y dar un alcance amplio con las figuras de descentralización, desconcentración y delegación, con el objeto de que la población cuente con la presencia institucional adecuada y el acceso a los servicios de salud y en general estén al alcance de todos.</w:t>
            </w:r>
          </w:p>
        </w:tc>
      </w:tr>
      <w:tr w:rsidR="00CA3231" w14:paraId="0EC48F64" w14:textId="77777777">
        <w:trPr>
          <w:trHeight w:val="1545"/>
        </w:trPr>
        <w:tc>
          <w:tcPr>
            <w:tcW w:w="901"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EC48F62" w14:textId="77777777" w:rsidR="00CA3231" w:rsidRDefault="001017FC">
            <w:pPr>
              <w:shd w:val="clear" w:color="auto" w:fill="FFFFFF"/>
              <w:spacing w:line="276" w:lineRule="auto"/>
              <w:jc w:val="center"/>
              <w:rPr>
                <w:b/>
                <w:sz w:val="22"/>
                <w:szCs w:val="22"/>
              </w:rPr>
            </w:pPr>
            <w:r>
              <w:rPr>
                <w:b/>
                <w:sz w:val="22"/>
                <w:szCs w:val="22"/>
              </w:rPr>
              <w:t>2009</w:t>
            </w:r>
          </w:p>
        </w:tc>
        <w:tc>
          <w:tcPr>
            <w:tcW w:w="7937" w:type="dxa"/>
            <w:tcBorders>
              <w:top w:val="nil"/>
              <w:left w:val="nil"/>
              <w:bottom w:val="single" w:sz="6" w:space="0" w:color="000000"/>
              <w:right w:val="single" w:sz="6" w:space="0" w:color="000000"/>
            </w:tcBorders>
            <w:tcMar>
              <w:top w:w="0" w:type="dxa"/>
              <w:left w:w="100" w:type="dxa"/>
              <w:bottom w:w="0" w:type="dxa"/>
              <w:right w:w="100" w:type="dxa"/>
            </w:tcMar>
          </w:tcPr>
          <w:p w14:paraId="0EC48F63" w14:textId="77777777" w:rsidR="00CA3231" w:rsidRDefault="001017FC">
            <w:pPr>
              <w:spacing w:line="276" w:lineRule="auto"/>
              <w:jc w:val="both"/>
              <w:rPr>
                <w:b/>
                <w:sz w:val="22"/>
                <w:szCs w:val="22"/>
              </w:rPr>
            </w:pPr>
            <w:r>
              <w:rPr>
                <w:sz w:val="22"/>
                <w:szCs w:val="22"/>
              </w:rPr>
              <w:t xml:space="preserve">El Concejo de Bogotá expide el </w:t>
            </w:r>
            <w:r>
              <w:rPr>
                <w:b/>
                <w:sz w:val="22"/>
                <w:szCs w:val="22"/>
              </w:rPr>
              <w:t xml:space="preserve">Acuerdo 383, </w:t>
            </w:r>
            <w:r>
              <w:rPr>
                <w:sz w:val="22"/>
                <w:szCs w:val="22"/>
              </w:rPr>
              <w:t xml:space="preserve">por medio del cual se busca implementar estrategias necesarias con tres fines fundamentales: </w:t>
            </w:r>
            <w:r>
              <w:rPr>
                <w:b/>
                <w:sz w:val="22"/>
                <w:szCs w:val="22"/>
              </w:rPr>
              <w:t>el primero que se promueva el uso de la línea 106 para el cuidado de la Salud Mental; el segundo que se cree una red de apoyo macro de voluntarios con el fin de abarcar toda la ciudad incentivando el cuidado de la Salud mental; y, por último, cuidar de la población en especial los menores de edad que son sujetos de especial protección constitucional.</w:t>
            </w:r>
          </w:p>
        </w:tc>
      </w:tr>
      <w:tr w:rsidR="00CA3231" w14:paraId="0EC48F67" w14:textId="77777777">
        <w:trPr>
          <w:trHeight w:val="525"/>
        </w:trPr>
        <w:tc>
          <w:tcPr>
            <w:tcW w:w="901"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EC48F65" w14:textId="77777777" w:rsidR="00CA3231" w:rsidRDefault="001017FC">
            <w:pPr>
              <w:shd w:val="clear" w:color="auto" w:fill="FFFFFF"/>
              <w:spacing w:line="276" w:lineRule="auto"/>
              <w:jc w:val="center"/>
              <w:rPr>
                <w:b/>
                <w:sz w:val="22"/>
                <w:szCs w:val="22"/>
              </w:rPr>
            </w:pPr>
            <w:r>
              <w:rPr>
                <w:b/>
                <w:sz w:val="22"/>
                <w:szCs w:val="22"/>
              </w:rPr>
              <w:t>2010</w:t>
            </w:r>
          </w:p>
        </w:tc>
        <w:tc>
          <w:tcPr>
            <w:tcW w:w="7937" w:type="dxa"/>
            <w:tcBorders>
              <w:top w:val="nil"/>
              <w:left w:val="nil"/>
              <w:bottom w:val="single" w:sz="6" w:space="0" w:color="000000"/>
              <w:right w:val="single" w:sz="6" w:space="0" w:color="000000"/>
            </w:tcBorders>
            <w:tcMar>
              <w:top w:w="0" w:type="dxa"/>
              <w:left w:w="100" w:type="dxa"/>
              <w:bottom w:w="0" w:type="dxa"/>
              <w:right w:w="100" w:type="dxa"/>
            </w:tcMar>
          </w:tcPr>
          <w:p w14:paraId="0EC48F66" w14:textId="77777777" w:rsidR="00CA3231" w:rsidRDefault="001017FC">
            <w:pPr>
              <w:spacing w:line="276" w:lineRule="auto"/>
              <w:jc w:val="both"/>
              <w:rPr>
                <w:b/>
                <w:sz w:val="22"/>
                <w:szCs w:val="22"/>
              </w:rPr>
            </w:pPr>
            <w:r>
              <w:rPr>
                <w:sz w:val="22"/>
                <w:szCs w:val="22"/>
              </w:rPr>
              <w:t xml:space="preserve">El </w:t>
            </w:r>
            <w:r>
              <w:rPr>
                <w:b/>
                <w:sz w:val="22"/>
                <w:szCs w:val="22"/>
              </w:rPr>
              <w:t>Acuerdo 437</w:t>
            </w:r>
            <w:r>
              <w:rPr>
                <w:sz w:val="22"/>
                <w:szCs w:val="22"/>
              </w:rPr>
              <w:t xml:space="preserve"> expedido por el Concejo de Bogotá, </w:t>
            </w:r>
            <w:r>
              <w:rPr>
                <w:b/>
                <w:sz w:val="22"/>
                <w:szCs w:val="22"/>
              </w:rPr>
              <w:t>crea el protocolo de atención integral para las víctimas de violencia sexual desde el sector Salud.</w:t>
            </w:r>
          </w:p>
        </w:tc>
      </w:tr>
      <w:tr w:rsidR="00CA3231" w14:paraId="0EC48F6A" w14:textId="77777777">
        <w:trPr>
          <w:trHeight w:val="495"/>
        </w:trPr>
        <w:tc>
          <w:tcPr>
            <w:tcW w:w="901"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EC48F68" w14:textId="77777777" w:rsidR="00CA3231" w:rsidRDefault="001017FC">
            <w:pPr>
              <w:shd w:val="clear" w:color="auto" w:fill="FFFFFF"/>
              <w:spacing w:line="276" w:lineRule="auto"/>
              <w:jc w:val="center"/>
              <w:rPr>
                <w:b/>
                <w:sz w:val="22"/>
                <w:szCs w:val="22"/>
              </w:rPr>
            </w:pPr>
            <w:r>
              <w:rPr>
                <w:b/>
                <w:sz w:val="22"/>
                <w:szCs w:val="22"/>
              </w:rPr>
              <w:t>2013</w:t>
            </w:r>
          </w:p>
        </w:tc>
        <w:tc>
          <w:tcPr>
            <w:tcW w:w="7937" w:type="dxa"/>
            <w:tcBorders>
              <w:top w:val="nil"/>
              <w:left w:val="nil"/>
              <w:bottom w:val="single" w:sz="6" w:space="0" w:color="000000"/>
              <w:right w:val="single" w:sz="6" w:space="0" w:color="000000"/>
            </w:tcBorders>
            <w:tcMar>
              <w:top w:w="0" w:type="dxa"/>
              <w:left w:w="100" w:type="dxa"/>
              <w:bottom w:w="0" w:type="dxa"/>
              <w:right w:w="100" w:type="dxa"/>
            </w:tcMar>
          </w:tcPr>
          <w:p w14:paraId="0EC48F69" w14:textId="77777777" w:rsidR="00CA3231" w:rsidRDefault="001017FC">
            <w:pPr>
              <w:spacing w:line="276" w:lineRule="auto"/>
              <w:jc w:val="both"/>
              <w:rPr>
                <w:b/>
                <w:sz w:val="22"/>
                <w:szCs w:val="22"/>
              </w:rPr>
            </w:pPr>
            <w:r>
              <w:rPr>
                <w:b/>
                <w:sz w:val="22"/>
                <w:szCs w:val="22"/>
              </w:rPr>
              <w:t>El Decreto 658 expide el cronograma de reglamentación e implementación de la Ley 1616 de 2013</w:t>
            </w:r>
          </w:p>
        </w:tc>
      </w:tr>
      <w:tr w:rsidR="00CA3231" w14:paraId="0EC48F6D" w14:textId="77777777">
        <w:trPr>
          <w:trHeight w:val="780"/>
        </w:trPr>
        <w:tc>
          <w:tcPr>
            <w:tcW w:w="901"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EC48F6B" w14:textId="77777777" w:rsidR="00CA3231" w:rsidRDefault="001017FC">
            <w:pPr>
              <w:shd w:val="clear" w:color="auto" w:fill="FFFFFF"/>
              <w:spacing w:line="276" w:lineRule="auto"/>
              <w:jc w:val="center"/>
              <w:rPr>
                <w:b/>
                <w:sz w:val="22"/>
                <w:szCs w:val="22"/>
              </w:rPr>
            </w:pPr>
            <w:r>
              <w:rPr>
                <w:b/>
                <w:sz w:val="22"/>
                <w:szCs w:val="22"/>
              </w:rPr>
              <w:t>2016</w:t>
            </w:r>
          </w:p>
        </w:tc>
        <w:tc>
          <w:tcPr>
            <w:tcW w:w="7937" w:type="dxa"/>
            <w:tcBorders>
              <w:top w:val="nil"/>
              <w:left w:val="nil"/>
              <w:bottom w:val="single" w:sz="6" w:space="0" w:color="000000"/>
              <w:right w:val="single" w:sz="6" w:space="0" w:color="000000"/>
            </w:tcBorders>
            <w:tcMar>
              <w:top w:w="0" w:type="dxa"/>
              <w:left w:w="100" w:type="dxa"/>
              <w:bottom w:w="0" w:type="dxa"/>
              <w:right w:w="100" w:type="dxa"/>
            </w:tcMar>
          </w:tcPr>
          <w:p w14:paraId="0EC48F6C" w14:textId="77777777" w:rsidR="00CA3231" w:rsidRDefault="001017FC">
            <w:pPr>
              <w:spacing w:line="276" w:lineRule="auto"/>
              <w:jc w:val="both"/>
              <w:rPr>
                <w:sz w:val="22"/>
                <w:szCs w:val="22"/>
              </w:rPr>
            </w:pPr>
            <w:r>
              <w:rPr>
                <w:sz w:val="22"/>
                <w:szCs w:val="22"/>
              </w:rPr>
              <w:t>Con relación al</w:t>
            </w:r>
            <w:r>
              <w:rPr>
                <w:b/>
                <w:sz w:val="22"/>
                <w:szCs w:val="22"/>
              </w:rPr>
              <w:t xml:space="preserve"> Decreto 547 y el Acuerdo 641 </w:t>
            </w:r>
            <w:r>
              <w:rPr>
                <w:sz w:val="22"/>
                <w:szCs w:val="22"/>
              </w:rPr>
              <w:t>se realiza la reorganización del sector salud de Bogotá, unificando varias entidades que se encontraban en estado inactivo, con el fin de cumplir el principio de celeridad, favorabilidad y eficacia.</w:t>
            </w:r>
          </w:p>
        </w:tc>
      </w:tr>
      <w:tr w:rsidR="00CA3231" w14:paraId="0EC48F70" w14:textId="77777777">
        <w:trPr>
          <w:trHeight w:val="780"/>
        </w:trPr>
        <w:tc>
          <w:tcPr>
            <w:tcW w:w="901"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EC48F6E" w14:textId="77777777" w:rsidR="00CA3231" w:rsidRDefault="001017FC">
            <w:pPr>
              <w:spacing w:line="276" w:lineRule="auto"/>
              <w:jc w:val="center"/>
              <w:rPr>
                <w:b/>
                <w:sz w:val="22"/>
                <w:szCs w:val="22"/>
              </w:rPr>
            </w:pPr>
            <w:r>
              <w:rPr>
                <w:b/>
                <w:sz w:val="22"/>
                <w:szCs w:val="22"/>
              </w:rPr>
              <w:t>2017</w:t>
            </w:r>
          </w:p>
        </w:tc>
        <w:tc>
          <w:tcPr>
            <w:tcW w:w="7937" w:type="dxa"/>
            <w:tcBorders>
              <w:top w:val="nil"/>
              <w:left w:val="nil"/>
              <w:bottom w:val="single" w:sz="6" w:space="0" w:color="000000"/>
              <w:right w:val="single" w:sz="6" w:space="0" w:color="000000"/>
            </w:tcBorders>
            <w:tcMar>
              <w:top w:w="0" w:type="dxa"/>
              <w:left w:w="100" w:type="dxa"/>
              <w:bottom w:w="0" w:type="dxa"/>
              <w:right w:w="100" w:type="dxa"/>
            </w:tcMar>
          </w:tcPr>
          <w:p w14:paraId="0EC48F6F" w14:textId="77777777" w:rsidR="00CA3231" w:rsidRDefault="001017FC">
            <w:pPr>
              <w:spacing w:line="276" w:lineRule="auto"/>
              <w:rPr>
                <w:sz w:val="22"/>
                <w:szCs w:val="22"/>
              </w:rPr>
            </w:pPr>
            <w:r>
              <w:rPr>
                <w:sz w:val="22"/>
                <w:szCs w:val="22"/>
              </w:rPr>
              <w:t xml:space="preserve">El </w:t>
            </w:r>
            <w:r>
              <w:rPr>
                <w:b/>
                <w:sz w:val="22"/>
                <w:szCs w:val="22"/>
              </w:rPr>
              <w:t xml:space="preserve">Decreto 669 </w:t>
            </w:r>
            <w:r>
              <w:rPr>
                <w:sz w:val="22"/>
                <w:szCs w:val="22"/>
              </w:rPr>
              <w:t>establece que el CONPES D.C, debe dar seguimiento y crear una hoja de ruta con el fin de coordinar las actividades respecto de la política económica y social (social entendida como un tema de dignidad humana y por ende de Salud Mental).</w:t>
            </w:r>
          </w:p>
        </w:tc>
      </w:tr>
      <w:tr w:rsidR="00CA3231" w14:paraId="0EC48F73" w14:textId="77777777">
        <w:trPr>
          <w:trHeight w:val="525"/>
        </w:trPr>
        <w:tc>
          <w:tcPr>
            <w:tcW w:w="901"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EC48F71" w14:textId="77777777" w:rsidR="00CA3231" w:rsidRDefault="001017FC">
            <w:pPr>
              <w:spacing w:line="276" w:lineRule="auto"/>
              <w:jc w:val="center"/>
              <w:rPr>
                <w:b/>
                <w:sz w:val="22"/>
                <w:szCs w:val="22"/>
              </w:rPr>
            </w:pPr>
            <w:r>
              <w:rPr>
                <w:b/>
                <w:sz w:val="22"/>
                <w:szCs w:val="22"/>
              </w:rPr>
              <w:t>2021</w:t>
            </w:r>
          </w:p>
        </w:tc>
        <w:tc>
          <w:tcPr>
            <w:tcW w:w="7937" w:type="dxa"/>
            <w:tcBorders>
              <w:top w:val="nil"/>
              <w:left w:val="nil"/>
              <w:bottom w:val="single" w:sz="6" w:space="0" w:color="000000"/>
              <w:right w:val="single" w:sz="6" w:space="0" w:color="000000"/>
            </w:tcBorders>
            <w:tcMar>
              <w:top w:w="0" w:type="dxa"/>
              <w:left w:w="100" w:type="dxa"/>
              <w:bottom w:w="0" w:type="dxa"/>
              <w:right w:w="100" w:type="dxa"/>
            </w:tcMar>
          </w:tcPr>
          <w:p w14:paraId="0EC48F72" w14:textId="77777777" w:rsidR="00CA3231" w:rsidRDefault="001017FC">
            <w:pPr>
              <w:spacing w:line="276" w:lineRule="auto"/>
              <w:jc w:val="both"/>
              <w:rPr>
                <w:b/>
                <w:sz w:val="22"/>
                <w:szCs w:val="22"/>
              </w:rPr>
            </w:pPr>
            <w:r>
              <w:rPr>
                <w:sz w:val="22"/>
                <w:szCs w:val="22"/>
              </w:rPr>
              <w:t xml:space="preserve">El Concejo de Bogotá por medio del </w:t>
            </w:r>
            <w:r>
              <w:rPr>
                <w:b/>
                <w:sz w:val="22"/>
                <w:szCs w:val="22"/>
              </w:rPr>
              <w:t>Acuerdo 795, busca fortalecer la atención en Salud Mental con el fin de inspeccionar y vigilar la prestación de servicios de Salud Mental.</w:t>
            </w:r>
          </w:p>
        </w:tc>
      </w:tr>
      <w:tr w:rsidR="00CA3231" w14:paraId="0EC48F78" w14:textId="77777777">
        <w:trPr>
          <w:trHeight w:val="3585"/>
        </w:trPr>
        <w:tc>
          <w:tcPr>
            <w:tcW w:w="901"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EC48F74" w14:textId="77777777" w:rsidR="00CA3231" w:rsidRDefault="001017FC">
            <w:pPr>
              <w:spacing w:line="276" w:lineRule="auto"/>
              <w:jc w:val="center"/>
              <w:rPr>
                <w:b/>
                <w:sz w:val="22"/>
                <w:szCs w:val="22"/>
              </w:rPr>
            </w:pPr>
            <w:r>
              <w:rPr>
                <w:b/>
                <w:sz w:val="22"/>
                <w:szCs w:val="22"/>
              </w:rPr>
              <w:t>2022</w:t>
            </w:r>
          </w:p>
        </w:tc>
        <w:tc>
          <w:tcPr>
            <w:tcW w:w="7937" w:type="dxa"/>
            <w:tcBorders>
              <w:top w:val="nil"/>
              <w:left w:val="nil"/>
              <w:bottom w:val="single" w:sz="6" w:space="0" w:color="000000"/>
              <w:right w:val="single" w:sz="6" w:space="0" w:color="000000"/>
            </w:tcBorders>
            <w:tcMar>
              <w:top w:w="0" w:type="dxa"/>
              <w:left w:w="100" w:type="dxa"/>
              <w:bottom w:w="0" w:type="dxa"/>
              <w:right w:w="100" w:type="dxa"/>
            </w:tcMar>
          </w:tcPr>
          <w:p w14:paraId="0EC48F75" w14:textId="77777777" w:rsidR="00CA3231" w:rsidRDefault="001017FC">
            <w:pPr>
              <w:spacing w:line="276" w:lineRule="auto"/>
              <w:jc w:val="both"/>
              <w:rPr>
                <w:b/>
                <w:sz w:val="22"/>
                <w:szCs w:val="22"/>
              </w:rPr>
            </w:pPr>
            <w:r>
              <w:rPr>
                <w:sz w:val="22"/>
                <w:szCs w:val="22"/>
              </w:rPr>
              <w:t>El</w:t>
            </w:r>
            <w:r>
              <w:rPr>
                <w:b/>
                <w:sz w:val="22"/>
                <w:szCs w:val="22"/>
              </w:rPr>
              <w:t xml:space="preserve"> Acuerdo 854 de 2022 </w:t>
            </w:r>
            <w:r>
              <w:rPr>
                <w:sz w:val="22"/>
                <w:szCs w:val="22"/>
              </w:rPr>
              <w:t xml:space="preserve">tiene como objeto </w:t>
            </w:r>
            <w:r>
              <w:rPr>
                <w:b/>
                <w:sz w:val="22"/>
                <w:szCs w:val="22"/>
              </w:rPr>
              <w:t>establecer directrices para fortalecer las medidas existentes y en curso de la Política Distrital de Salud Mental, que se encuentran orientadas a proteger y cuidar la salud mental, así como a reducir el impacto producto de los trastornos mentales que afectan a los habitantes de Bogotá.</w:t>
            </w:r>
          </w:p>
          <w:p w14:paraId="0EC48F76" w14:textId="77777777" w:rsidR="00CA3231" w:rsidRDefault="001017FC">
            <w:pPr>
              <w:spacing w:line="276" w:lineRule="auto"/>
              <w:jc w:val="both"/>
              <w:rPr>
                <w:b/>
                <w:sz w:val="22"/>
                <w:szCs w:val="22"/>
              </w:rPr>
            </w:pPr>
            <w:r>
              <w:rPr>
                <w:b/>
                <w:sz w:val="22"/>
                <w:szCs w:val="22"/>
              </w:rPr>
              <w:t xml:space="preserve"> </w:t>
            </w:r>
          </w:p>
          <w:p w14:paraId="0EC48F77" w14:textId="77777777" w:rsidR="00CA3231" w:rsidRDefault="001017FC">
            <w:pPr>
              <w:spacing w:line="276" w:lineRule="auto"/>
              <w:jc w:val="both"/>
              <w:rPr>
                <w:b/>
                <w:sz w:val="22"/>
                <w:szCs w:val="22"/>
              </w:rPr>
            </w:pPr>
            <w:r>
              <w:rPr>
                <w:b/>
                <w:sz w:val="22"/>
                <w:szCs w:val="22"/>
              </w:rPr>
              <w:t>El Decreto 059 de 2022 crea el Consejo Consultivo Distrital de Salud Mental de Bogotá, como instancia permanente, con el objeto de brindar asesoría para la implementación de proyectos en salud mental, buscando realizar seguimiento y evaluación a la implementación de la política distrital de salud mental. Su propósito es servir de instancia consultiva de la política distrital de salud mental y estará coordinado por la secretaria Distrital de Salud como cabeza del Sector Administrativo.</w:t>
            </w:r>
          </w:p>
        </w:tc>
      </w:tr>
    </w:tbl>
    <w:p w14:paraId="0EC48F79" w14:textId="77777777" w:rsidR="00CA3231" w:rsidRDefault="00CA3231">
      <w:pPr>
        <w:jc w:val="both"/>
        <w:rPr>
          <w:sz w:val="22"/>
          <w:szCs w:val="22"/>
        </w:rPr>
      </w:pPr>
    </w:p>
    <w:p w14:paraId="0EC48F7A" w14:textId="77777777" w:rsidR="00CA3231" w:rsidRDefault="001017FC">
      <w:pPr>
        <w:ind w:left="720"/>
        <w:jc w:val="both"/>
        <w:rPr>
          <w:b/>
          <w:sz w:val="22"/>
          <w:szCs w:val="22"/>
        </w:rPr>
      </w:pPr>
      <w:r>
        <w:rPr>
          <w:b/>
          <w:sz w:val="22"/>
          <w:szCs w:val="22"/>
        </w:rPr>
        <w:t>II. JUSTIFICACIÓN Y ANÁLISIS DE CONVENIENCIA DE LA INICIATIVA</w:t>
      </w:r>
    </w:p>
    <w:p w14:paraId="0EC48F7B" w14:textId="77777777" w:rsidR="00CA3231" w:rsidRDefault="00CA3231">
      <w:pPr>
        <w:jc w:val="both"/>
        <w:rPr>
          <w:b/>
          <w:sz w:val="22"/>
          <w:szCs w:val="22"/>
        </w:rPr>
      </w:pPr>
    </w:p>
    <w:p w14:paraId="0EC48F7C" w14:textId="77777777" w:rsidR="00CA3231" w:rsidRDefault="001017FC">
      <w:pPr>
        <w:spacing w:after="160" w:line="259" w:lineRule="auto"/>
        <w:rPr>
          <w:b/>
          <w:sz w:val="22"/>
          <w:szCs w:val="22"/>
        </w:rPr>
      </w:pPr>
      <w:r>
        <w:rPr>
          <w:b/>
          <w:sz w:val="22"/>
          <w:szCs w:val="22"/>
        </w:rPr>
        <w:t>Objeto del proyecto de Acuerdo</w:t>
      </w:r>
    </w:p>
    <w:p w14:paraId="0EC48F7D" w14:textId="77777777" w:rsidR="00CA3231" w:rsidRDefault="001017FC">
      <w:pPr>
        <w:widowControl w:val="0"/>
        <w:pBdr>
          <w:top w:val="none" w:sz="0" w:space="7" w:color="E5E7EB"/>
          <w:left w:val="none" w:sz="0" w:space="7" w:color="E5E7EB"/>
          <w:bottom w:val="none" w:sz="0" w:space="7" w:color="E5E7EB"/>
          <w:right w:val="none" w:sz="0" w:space="1" w:color="E5E7EB"/>
          <w:between w:val="none" w:sz="0" w:space="7" w:color="E5E7EB"/>
        </w:pBdr>
        <w:shd w:val="clear" w:color="auto" w:fill="FFFFFF"/>
        <w:spacing w:line="276" w:lineRule="auto"/>
        <w:jc w:val="both"/>
        <w:rPr>
          <w:sz w:val="22"/>
          <w:szCs w:val="22"/>
        </w:rPr>
      </w:pPr>
      <w:r>
        <w:rPr>
          <w:sz w:val="22"/>
          <w:szCs w:val="22"/>
        </w:rPr>
        <w:t>Formular lineamientos que permitan promover la prevención y mitigación del trastorno de estrés postraumático en el Distrito Capital, con enfoque de género, diferencial e interseccional y con especial énfasis en las fuerzas de emergencias, primeros atendientes y víctimas de emergencias y/o situaciones traumáticas.</w:t>
      </w:r>
    </w:p>
    <w:p w14:paraId="0EC48F7E" w14:textId="77777777" w:rsidR="00CA3231" w:rsidRDefault="00CA3231">
      <w:pPr>
        <w:spacing w:line="276" w:lineRule="auto"/>
        <w:jc w:val="both"/>
        <w:rPr>
          <w:sz w:val="22"/>
          <w:szCs w:val="22"/>
        </w:rPr>
      </w:pPr>
    </w:p>
    <w:p w14:paraId="0EC48F7F" w14:textId="77777777" w:rsidR="00CA3231" w:rsidRDefault="001017FC">
      <w:pPr>
        <w:jc w:val="both"/>
        <w:rPr>
          <w:b/>
          <w:sz w:val="22"/>
          <w:szCs w:val="22"/>
        </w:rPr>
      </w:pPr>
      <w:r>
        <w:rPr>
          <w:b/>
          <w:sz w:val="22"/>
          <w:szCs w:val="22"/>
        </w:rPr>
        <w:t>¿Qué es el estrés postraumático?</w:t>
      </w:r>
    </w:p>
    <w:p w14:paraId="0EC48F80" w14:textId="77777777" w:rsidR="00CA3231" w:rsidRDefault="00CA3231">
      <w:pPr>
        <w:jc w:val="both"/>
        <w:rPr>
          <w:b/>
          <w:sz w:val="22"/>
          <w:szCs w:val="22"/>
        </w:rPr>
      </w:pPr>
    </w:p>
    <w:p w14:paraId="0EC48F81" w14:textId="77777777" w:rsidR="00CA3231" w:rsidRDefault="001017FC">
      <w:pPr>
        <w:jc w:val="both"/>
        <w:rPr>
          <w:sz w:val="22"/>
          <w:szCs w:val="22"/>
        </w:rPr>
      </w:pPr>
      <w:r>
        <w:rPr>
          <w:sz w:val="22"/>
          <w:szCs w:val="22"/>
        </w:rPr>
        <w:t>El trastorno de estrés postraumático (TEPT) se compone de dos elementos: una respuesta de estrés que es naturalmente patológica y, por otro lado, el trauma. Se acuñó oficialmente en el año 1980 como parte de la terminología psiquiátrica y ha sido relevante en el análisis de las consecuencias de sucesos como el ataque de las Torres Gemelas en los Estados Unidos</w:t>
      </w:r>
      <w:r>
        <w:rPr>
          <w:sz w:val="22"/>
          <w:szCs w:val="22"/>
          <w:vertAlign w:val="superscript"/>
        </w:rPr>
        <w:footnoteReference w:id="1"/>
      </w:r>
      <w:r>
        <w:rPr>
          <w:sz w:val="22"/>
          <w:szCs w:val="22"/>
        </w:rPr>
        <w:t xml:space="preserve">. El TEPT es diferente a los trastornos de ansiedad restantes, pues su inicio depende de la exposición a una o más experiencias traumáticas relacionadas, además de que el paciente presenta un deterioro en su funcionamiento social, ocupacional y personal </w:t>
      </w:r>
      <w:r>
        <w:rPr>
          <w:sz w:val="22"/>
          <w:szCs w:val="22"/>
          <w:vertAlign w:val="superscript"/>
        </w:rPr>
        <w:footnoteReference w:id="2"/>
      </w:r>
      <w:r>
        <w:rPr>
          <w:sz w:val="22"/>
          <w:szCs w:val="22"/>
        </w:rPr>
        <w:t>. De esta manera, el organismo responde a un estresor buscando la adaptación ante una situación traumática que, de acuerdo con la Asociación Psiquiátrica Americana, sobrepasa el repertorio de experiencias habituales y que constituye una seria amenaza para la vida o la integridad física personal o de un tercero.</w:t>
      </w:r>
      <w:r>
        <w:rPr>
          <w:sz w:val="22"/>
          <w:szCs w:val="22"/>
          <w:vertAlign w:val="superscript"/>
        </w:rPr>
        <w:footnoteReference w:id="3"/>
      </w:r>
    </w:p>
    <w:p w14:paraId="0EC48F82" w14:textId="77777777" w:rsidR="00CA3231" w:rsidRDefault="001017FC">
      <w:pPr>
        <w:jc w:val="both"/>
        <w:rPr>
          <w:sz w:val="22"/>
          <w:szCs w:val="22"/>
        </w:rPr>
      </w:pPr>
      <w:r>
        <w:rPr>
          <w:sz w:val="22"/>
          <w:szCs w:val="22"/>
        </w:rPr>
        <w:t xml:space="preserve">De acuerdo con el </w:t>
      </w:r>
      <w:r>
        <w:rPr>
          <w:i/>
          <w:sz w:val="22"/>
          <w:szCs w:val="22"/>
        </w:rPr>
        <w:t>Manual Diagnóstico y Estadístico de los Trastornos Mentales</w:t>
      </w:r>
      <w:r>
        <w:rPr>
          <w:sz w:val="22"/>
          <w:szCs w:val="22"/>
        </w:rPr>
        <w:t xml:space="preserve"> (DSM-5)</w:t>
      </w:r>
      <w:r>
        <w:rPr>
          <w:sz w:val="22"/>
          <w:szCs w:val="22"/>
          <w:vertAlign w:val="superscript"/>
        </w:rPr>
        <w:footnoteReference w:id="4"/>
      </w:r>
      <w:r>
        <w:rPr>
          <w:sz w:val="22"/>
          <w:szCs w:val="22"/>
        </w:rPr>
        <w:t xml:space="preserve">, los </w:t>
      </w:r>
      <w:r>
        <w:rPr>
          <w:b/>
          <w:sz w:val="22"/>
          <w:szCs w:val="22"/>
        </w:rPr>
        <w:t>criterios de diagnóstico</w:t>
      </w:r>
      <w:r>
        <w:rPr>
          <w:sz w:val="22"/>
          <w:szCs w:val="22"/>
        </w:rPr>
        <w:t xml:space="preserve"> varían para dos tipos de grupos: el primero constituido por adultos, adolescentes y niños mayores de 6 años; y, el segundo, por niños menores de 6 años. Sin embargo, entre ellos se encuentran:</w:t>
      </w:r>
    </w:p>
    <w:p w14:paraId="0EC48F83" w14:textId="77777777" w:rsidR="00CA3231" w:rsidRDefault="001017FC">
      <w:pPr>
        <w:numPr>
          <w:ilvl w:val="0"/>
          <w:numId w:val="3"/>
        </w:numPr>
        <w:spacing w:before="240"/>
        <w:jc w:val="both"/>
        <w:rPr>
          <w:sz w:val="22"/>
          <w:szCs w:val="22"/>
        </w:rPr>
      </w:pPr>
      <w:r>
        <w:rPr>
          <w:b/>
          <w:sz w:val="22"/>
          <w:szCs w:val="22"/>
        </w:rPr>
        <w:t xml:space="preserve">Exposición a la muerte, lesión grave o violencia sexual, ya sea real o amenaza: </w:t>
      </w:r>
      <w:r>
        <w:rPr>
          <w:sz w:val="22"/>
          <w:szCs w:val="22"/>
        </w:rPr>
        <w:t>que va desde la experiencia y presencia directa y el conocimiento de sucesos traumáticos hasta la exposición repetida o extrema a detalles repulsivos del suceso(s) traumático(s), por ejemplo, como sucede con socorristas que recogen restos humanos o policías repetidamente expuestos a detalles del maltrato infantil.</w:t>
      </w:r>
    </w:p>
    <w:p w14:paraId="0EC48F84" w14:textId="77777777" w:rsidR="00CA3231" w:rsidRDefault="001017FC">
      <w:pPr>
        <w:numPr>
          <w:ilvl w:val="0"/>
          <w:numId w:val="3"/>
        </w:numPr>
        <w:jc w:val="both"/>
        <w:rPr>
          <w:sz w:val="22"/>
          <w:szCs w:val="22"/>
        </w:rPr>
      </w:pPr>
      <w:r>
        <w:rPr>
          <w:b/>
          <w:sz w:val="22"/>
          <w:szCs w:val="22"/>
        </w:rPr>
        <w:t>Presencia de uno (o más) de los síntomas de intrusión asociados al suceso(s) traumático(s) y que comienzan después del suceso(s) traumático(s)</w:t>
      </w:r>
      <w:r>
        <w:rPr>
          <w:sz w:val="22"/>
          <w:szCs w:val="22"/>
        </w:rPr>
        <w:t>: como lo son recuerdos angustiosos recurrentes, involuntarios e intrusivos; sueños angustiosos recurrentes en los que el contenido y/o el afecto del sueño está relacionado con el suceso(s) traumático(s); reacciones en las que el sujeto siente o actúa como si se repitiera el suceso(s) traumático(s); malestar psicológico intenso o prolongado al exponerse a factores internos o externos que simbolizan o se parecen a un aspecto del suceso(s) traumático(s); o reacciones fisiológicas intensas a factores internos o externos que simbolizan o se parecen a un aspecto del suceso(s) traumático(s).</w:t>
      </w:r>
    </w:p>
    <w:p w14:paraId="0EC48F85" w14:textId="77777777" w:rsidR="00CA3231" w:rsidRDefault="001017FC">
      <w:pPr>
        <w:numPr>
          <w:ilvl w:val="0"/>
          <w:numId w:val="3"/>
        </w:numPr>
        <w:jc w:val="both"/>
        <w:rPr>
          <w:sz w:val="22"/>
          <w:szCs w:val="22"/>
        </w:rPr>
      </w:pPr>
      <w:r>
        <w:rPr>
          <w:b/>
          <w:sz w:val="22"/>
          <w:szCs w:val="22"/>
        </w:rPr>
        <w:t xml:space="preserve">Evitación persistente de estímulos asociados al suceso(s) traumático(s), que comienza tras el suceso(s) traumático(s): </w:t>
      </w:r>
      <w:r>
        <w:rPr>
          <w:sz w:val="22"/>
          <w:szCs w:val="22"/>
        </w:rPr>
        <w:t>como la evitación de recuerdos, pensamientos o sentimientos y recordatorios externos que se relacionan con la situación traumática (personas, lugares, conversaciones, actividades, objetos, situaciones).</w:t>
      </w:r>
    </w:p>
    <w:p w14:paraId="0EC48F86" w14:textId="77777777" w:rsidR="00CA3231" w:rsidRDefault="001017FC">
      <w:pPr>
        <w:numPr>
          <w:ilvl w:val="0"/>
          <w:numId w:val="3"/>
        </w:numPr>
        <w:jc w:val="both"/>
        <w:rPr>
          <w:sz w:val="22"/>
          <w:szCs w:val="22"/>
        </w:rPr>
      </w:pPr>
      <w:r>
        <w:rPr>
          <w:b/>
          <w:sz w:val="22"/>
          <w:szCs w:val="22"/>
        </w:rPr>
        <w:t>Alteraciones negativas cognitivas y del estado de ánimo asociadas al suceso(s) traumático(s), que comienzan o empeoran después del suceso(s) traumático(s):</w:t>
      </w:r>
      <w:r>
        <w:rPr>
          <w:sz w:val="22"/>
          <w:szCs w:val="22"/>
        </w:rPr>
        <w:t xml:space="preserve"> como lo es la incapacidad de recordar un aspecto importante del suceso(s) traumático(s); creencias o expectativas negativas persistentes y exageradas sobre sí mismo/a, los demás o el mundo; percepción distorsionada persistente de la causa o las consecuencias del suceso(s) traumático(s) que hace que el individuo se acuse a sí mismo o a los demás; disminución importante del interés o la participación en actividades significativas; Sentimiento de desapego o extrañamiento de los demás; e incapacidad persistente de experimentar emociones positivas.</w:t>
      </w:r>
    </w:p>
    <w:p w14:paraId="0EC48F87" w14:textId="77777777" w:rsidR="00CA3231" w:rsidRDefault="001017FC">
      <w:pPr>
        <w:numPr>
          <w:ilvl w:val="0"/>
          <w:numId w:val="3"/>
        </w:numPr>
        <w:spacing w:after="240"/>
        <w:jc w:val="both"/>
        <w:rPr>
          <w:sz w:val="22"/>
          <w:szCs w:val="22"/>
        </w:rPr>
      </w:pPr>
      <w:r>
        <w:rPr>
          <w:b/>
          <w:sz w:val="22"/>
          <w:szCs w:val="22"/>
        </w:rPr>
        <w:t>Alteración importante de la alerta y reactividad asociada al suceso(s) traumático(s), que comienza o empeora después del suceso(s) traumático(s):</w:t>
      </w:r>
      <w:r>
        <w:rPr>
          <w:sz w:val="22"/>
          <w:szCs w:val="22"/>
        </w:rPr>
        <w:t xml:space="preserve"> como lo es un comportamiento irritable, furioso, imprudente o autodestructivo, hipervigilancia, problemas de concentración, respuesta de sobresalto exagerada y alteración del sueño. </w:t>
      </w:r>
    </w:p>
    <w:p w14:paraId="0EC48F88" w14:textId="77777777" w:rsidR="00CA3231" w:rsidRDefault="001017FC">
      <w:pPr>
        <w:spacing w:before="240" w:after="240"/>
        <w:jc w:val="both"/>
        <w:rPr>
          <w:sz w:val="22"/>
          <w:szCs w:val="22"/>
        </w:rPr>
      </w:pPr>
      <w:r>
        <w:rPr>
          <w:sz w:val="22"/>
          <w:szCs w:val="22"/>
        </w:rPr>
        <w:t xml:space="preserve">Asimismo, existen </w:t>
      </w:r>
      <w:r>
        <w:rPr>
          <w:b/>
          <w:sz w:val="22"/>
          <w:szCs w:val="22"/>
        </w:rPr>
        <w:t>factores de riesgo</w:t>
      </w:r>
      <w:r>
        <w:rPr>
          <w:b/>
          <w:sz w:val="22"/>
          <w:szCs w:val="22"/>
          <w:vertAlign w:val="superscript"/>
        </w:rPr>
        <w:footnoteReference w:id="5"/>
      </w:r>
      <w:r>
        <w:rPr>
          <w:b/>
          <w:sz w:val="22"/>
          <w:szCs w:val="22"/>
        </w:rPr>
        <w:t xml:space="preserve"> </w:t>
      </w:r>
      <w:r>
        <w:rPr>
          <w:sz w:val="22"/>
          <w:szCs w:val="22"/>
        </w:rPr>
        <w:t xml:space="preserve">pretraumáticos (antes de la situación traumática), peritraumáticos (durante la situación traumática) y postraumáticios (después de la situación traumática) que pueden aumentar la probabilidad de desarrollar TEPT. Algunos de ellos son: </w:t>
      </w:r>
    </w:p>
    <w:p w14:paraId="0EC48F89" w14:textId="77777777" w:rsidR="00CA3231" w:rsidRDefault="001017FC">
      <w:pPr>
        <w:spacing w:before="240" w:after="240"/>
        <w:jc w:val="center"/>
        <w:rPr>
          <w:sz w:val="22"/>
          <w:szCs w:val="22"/>
        </w:rPr>
      </w:pPr>
      <w:r>
        <w:rPr>
          <w:b/>
          <w:sz w:val="22"/>
          <w:szCs w:val="22"/>
        </w:rPr>
        <w:t xml:space="preserve">Tabla no. 3 </w:t>
      </w:r>
      <w:r>
        <w:rPr>
          <w:sz w:val="22"/>
          <w:szCs w:val="22"/>
        </w:rPr>
        <w:t>Factores de riesgo del estrés postraumático clasificados por la ocurrencia de la situación traumática</w:t>
      </w:r>
    </w:p>
    <w:sdt>
      <w:sdtPr>
        <w:tag w:val="goog_rdk_0"/>
        <w:id w:val="-1539348601"/>
        <w:lock w:val="contentLocked"/>
      </w:sdtPr>
      <w:sdtEndPr/>
      <w:sdtContent>
        <w:tbl>
          <w:tblPr>
            <w:tblStyle w:val="af0"/>
            <w:tblW w:w="883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947"/>
            <w:gridCol w:w="2946"/>
            <w:gridCol w:w="2946"/>
          </w:tblGrid>
          <w:tr w:rsidR="00CA3231" w14:paraId="0EC48F8D" w14:textId="77777777">
            <w:tc>
              <w:tcPr>
                <w:tcW w:w="2946" w:type="dxa"/>
                <w:shd w:val="clear" w:color="auto" w:fill="auto"/>
                <w:tcMar>
                  <w:top w:w="100" w:type="dxa"/>
                  <w:left w:w="100" w:type="dxa"/>
                  <w:bottom w:w="100" w:type="dxa"/>
                  <w:right w:w="100" w:type="dxa"/>
                </w:tcMar>
              </w:tcPr>
              <w:p w14:paraId="0EC48F8A" w14:textId="77777777" w:rsidR="00CA3231" w:rsidRDefault="001017FC">
                <w:pPr>
                  <w:widowControl w:val="0"/>
                  <w:pBdr>
                    <w:top w:val="nil"/>
                    <w:left w:val="nil"/>
                    <w:bottom w:val="nil"/>
                    <w:right w:val="nil"/>
                    <w:between w:val="nil"/>
                  </w:pBdr>
                  <w:jc w:val="center"/>
                  <w:rPr>
                    <w:b/>
                    <w:sz w:val="22"/>
                    <w:szCs w:val="22"/>
                  </w:rPr>
                </w:pPr>
                <w:r>
                  <w:rPr>
                    <w:b/>
                    <w:sz w:val="22"/>
                    <w:szCs w:val="22"/>
                  </w:rPr>
                  <w:t>Pretraumáticos</w:t>
                </w:r>
              </w:p>
            </w:tc>
            <w:tc>
              <w:tcPr>
                <w:tcW w:w="2946" w:type="dxa"/>
                <w:shd w:val="clear" w:color="auto" w:fill="auto"/>
                <w:tcMar>
                  <w:top w:w="100" w:type="dxa"/>
                  <w:left w:w="100" w:type="dxa"/>
                  <w:bottom w:w="100" w:type="dxa"/>
                  <w:right w:w="100" w:type="dxa"/>
                </w:tcMar>
              </w:tcPr>
              <w:p w14:paraId="0EC48F8B" w14:textId="77777777" w:rsidR="00CA3231" w:rsidRDefault="001017FC">
                <w:pPr>
                  <w:widowControl w:val="0"/>
                  <w:pBdr>
                    <w:top w:val="nil"/>
                    <w:left w:val="nil"/>
                    <w:bottom w:val="nil"/>
                    <w:right w:val="nil"/>
                    <w:between w:val="nil"/>
                  </w:pBdr>
                  <w:jc w:val="center"/>
                  <w:rPr>
                    <w:b/>
                    <w:sz w:val="22"/>
                    <w:szCs w:val="22"/>
                  </w:rPr>
                </w:pPr>
                <w:r>
                  <w:rPr>
                    <w:b/>
                    <w:sz w:val="22"/>
                    <w:szCs w:val="22"/>
                  </w:rPr>
                  <w:t>Peritraumáticos</w:t>
                </w:r>
              </w:p>
            </w:tc>
            <w:tc>
              <w:tcPr>
                <w:tcW w:w="2946" w:type="dxa"/>
                <w:shd w:val="clear" w:color="auto" w:fill="auto"/>
                <w:tcMar>
                  <w:top w:w="100" w:type="dxa"/>
                  <w:left w:w="100" w:type="dxa"/>
                  <w:bottom w:w="100" w:type="dxa"/>
                  <w:right w:w="100" w:type="dxa"/>
                </w:tcMar>
              </w:tcPr>
              <w:p w14:paraId="0EC48F8C" w14:textId="77777777" w:rsidR="00CA3231" w:rsidRDefault="001017FC">
                <w:pPr>
                  <w:widowControl w:val="0"/>
                  <w:pBdr>
                    <w:top w:val="nil"/>
                    <w:left w:val="nil"/>
                    <w:bottom w:val="nil"/>
                    <w:right w:val="nil"/>
                    <w:between w:val="nil"/>
                  </w:pBdr>
                  <w:jc w:val="center"/>
                  <w:rPr>
                    <w:b/>
                    <w:sz w:val="22"/>
                    <w:szCs w:val="22"/>
                  </w:rPr>
                </w:pPr>
                <w:r>
                  <w:rPr>
                    <w:b/>
                    <w:sz w:val="22"/>
                    <w:szCs w:val="22"/>
                  </w:rPr>
                  <w:t>Postraumáticos</w:t>
                </w:r>
              </w:p>
            </w:tc>
          </w:tr>
          <w:tr w:rsidR="00CA3231" w14:paraId="0EC48F93" w14:textId="77777777">
            <w:tc>
              <w:tcPr>
                <w:tcW w:w="2946" w:type="dxa"/>
                <w:shd w:val="clear" w:color="auto" w:fill="auto"/>
                <w:tcMar>
                  <w:top w:w="100" w:type="dxa"/>
                  <w:left w:w="100" w:type="dxa"/>
                  <w:bottom w:w="100" w:type="dxa"/>
                  <w:right w:w="100" w:type="dxa"/>
                </w:tcMar>
              </w:tcPr>
              <w:p w14:paraId="0EC48F8E" w14:textId="77777777" w:rsidR="00CA3231" w:rsidRDefault="001017FC">
                <w:pPr>
                  <w:spacing w:before="240" w:after="240"/>
                  <w:jc w:val="both"/>
                  <w:rPr>
                    <w:sz w:val="22"/>
                    <w:szCs w:val="22"/>
                  </w:rPr>
                </w:pPr>
                <w:r>
                  <w:rPr>
                    <w:b/>
                    <w:sz w:val="22"/>
                    <w:szCs w:val="22"/>
                  </w:rPr>
                  <w:t>Temperamentales,</w:t>
                </w:r>
                <w:r>
                  <w:rPr>
                    <w:sz w:val="22"/>
                    <w:szCs w:val="22"/>
                  </w:rPr>
                  <w:t xml:space="preserve"> como los problemas emocionales de la infancia en torno a la edad de 6 años y los trastornos mentales previos. </w:t>
                </w:r>
              </w:p>
              <w:p w14:paraId="0EC48F8F" w14:textId="77777777" w:rsidR="00CA3231" w:rsidRDefault="001017FC">
                <w:pPr>
                  <w:spacing w:before="240" w:after="240"/>
                  <w:jc w:val="both"/>
                  <w:rPr>
                    <w:sz w:val="22"/>
                    <w:szCs w:val="22"/>
                  </w:rPr>
                </w:pPr>
                <w:r>
                  <w:rPr>
                    <w:b/>
                    <w:sz w:val="22"/>
                    <w:szCs w:val="22"/>
                  </w:rPr>
                  <w:t>Ambientales,</w:t>
                </w:r>
                <w:r>
                  <w:rPr>
                    <w:sz w:val="22"/>
                    <w:szCs w:val="22"/>
                  </w:rPr>
                  <w:t xml:space="preserve"> como un bajo nivel socioeconómico, una educación escasa, la exposición a un trauma previo (especialmente durante la niñez), una deficiencia de inteligencia, una condición racial/étnica minoritaria y una historia psiquiátrica familiar. </w:t>
                </w:r>
              </w:p>
            </w:tc>
            <w:tc>
              <w:tcPr>
                <w:tcW w:w="2946" w:type="dxa"/>
                <w:shd w:val="clear" w:color="auto" w:fill="auto"/>
                <w:tcMar>
                  <w:top w:w="100" w:type="dxa"/>
                  <w:left w:w="100" w:type="dxa"/>
                  <w:bottom w:w="100" w:type="dxa"/>
                  <w:right w:w="100" w:type="dxa"/>
                </w:tcMar>
              </w:tcPr>
              <w:p w14:paraId="0EC48F90" w14:textId="77777777" w:rsidR="00CA3231" w:rsidRDefault="001017FC">
                <w:pPr>
                  <w:spacing w:before="240" w:after="240"/>
                  <w:jc w:val="both"/>
                  <w:rPr>
                    <w:sz w:val="22"/>
                    <w:szCs w:val="22"/>
                  </w:rPr>
                </w:pPr>
                <w:r>
                  <w:rPr>
                    <w:b/>
                    <w:sz w:val="22"/>
                    <w:szCs w:val="22"/>
                  </w:rPr>
                  <w:t>Ambientales,</w:t>
                </w:r>
                <w:r>
                  <w:rPr>
                    <w:sz w:val="22"/>
                    <w:szCs w:val="22"/>
                  </w:rPr>
                  <w:t xml:space="preserve"> como la gravedad (dosis) del trauma (cuanto mayor es la magnitud de trauma, mayor es la probabilidad de TEPT), el peligro vital percibido, las lesiones personales, la violencia interpersonal (especialmente el trauma perpetrado por un cuidador o al presenciar cómo se amenaza a un cuidador de los niños) y, para el personal militar, ser autor o testigo de atrocidades, o matar al enemigo. </w:t>
                </w:r>
              </w:p>
            </w:tc>
            <w:tc>
              <w:tcPr>
                <w:tcW w:w="2946" w:type="dxa"/>
                <w:shd w:val="clear" w:color="auto" w:fill="auto"/>
                <w:tcMar>
                  <w:top w:w="100" w:type="dxa"/>
                  <w:left w:w="100" w:type="dxa"/>
                  <w:bottom w:w="100" w:type="dxa"/>
                  <w:right w:w="100" w:type="dxa"/>
                </w:tcMar>
              </w:tcPr>
              <w:p w14:paraId="0EC48F91" w14:textId="77777777" w:rsidR="00CA3231" w:rsidRDefault="001017FC">
                <w:pPr>
                  <w:spacing w:before="240" w:after="240"/>
                  <w:jc w:val="both"/>
                  <w:rPr>
                    <w:sz w:val="22"/>
                    <w:szCs w:val="22"/>
                  </w:rPr>
                </w:pPr>
                <w:r>
                  <w:rPr>
                    <w:b/>
                    <w:sz w:val="22"/>
                    <w:szCs w:val="22"/>
                  </w:rPr>
                  <w:t>Temperamentales,</w:t>
                </w:r>
                <w:r>
                  <w:rPr>
                    <w:sz w:val="22"/>
                    <w:szCs w:val="22"/>
                  </w:rPr>
                  <w:t xml:space="preserve"> como las estrategias de afrontamiento inadecuadas y el desarrollo de un trastorno de estrés agudo. </w:t>
                </w:r>
              </w:p>
              <w:p w14:paraId="0EC48F92" w14:textId="77777777" w:rsidR="00CA3231" w:rsidRDefault="001017FC">
                <w:pPr>
                  <w:spacing w:before="240" w:after="240"/>
                  <w:jc w:val="both"/>
                  <w:rPr>
                    <w:sz w:val="22"/>
                    <w:szCs w:val="22"/>
                  </w:rPr>
                </w:pPr>
                <w:r>
                  <w:rPr>
                    <w:b/>
                    <w:sz w:val="22"/>
                    <w:szCs w:val="22"/>
                  </w:rPr>
                  <w:t xml:space="preserve">Ambientales, </w:t>
                </w:r>
                <w:r>
                  <w:rPr>
                    <w:sz w:val="22"/>
                    <w:szCs w:val="22"/>
                  </w:rPr>
                  <w:t xml:space="preserve">como lo son la posterior exposición a recuerdos molestos repetitivos, a acontecimientos adversos posteriores y a pérdidas relacionadas con traumas financieros o de otra índole. </w:t>
                </w:r>
              </w:p>
            </w:tc>
          </w:tr>
        </w:tbl>
      </w:sdtContent>
    </w:sdt>
    <w:p w14:paraId="0EC48F94" w14:textId="77777777" w:rsidR="00CA3231" w:rsidRDefault="001017FC">
      <w:pPr>
        <w:spacing w:before="240" w:after="240"/>
        <w:jc w:val="center"/>
        <w:rPr>
          <w:sz w:val="22"/>
          <w:szCs w:val="22"/>
        </w:rPr>
      </w:pPr>
      <w:r>
        <w:rPr>
          <w:sz w:val="20"/>
        </w:rPr>
        <w:t xml:space="preserve">Fuente: Elaboración propia a partir de la información del </w:t>
      </w:r>
      <w:r>
        <w:rPr>
          <w:i/>
          <w:sz w:val="20"/>
        </w:rPr>
        <w:t>Manual Diagnóstico y Estadístico de los Trastornos Mentales</w:t>
      </w:r>
      <w:r>
        <w:rPr>
          <w:sz w:val="20"/>
        </w:rPr>
        <w:t xml:space="preserve"> (DSM-5)</w:t>
      </w:r>
    </w:p>
    <w:p w14:paraId="0EC48F95" w14:textId="77777777" w:rsidR="00CA3231" w:rsidRDefault="001017FC">
      <w:pPr>
        <w:spacing w:before="240" w:after="240"/>
        <w:jc w:val="both"/>
        <w:rPr>
          <w:sz w:val="22"/>
          <w:szCs w:val="22"/>
        </w:rPr>
      </w:pPr>
      <w:r>
        <w:rPr>
          <w:sz w:val="22"/>
          <w:szCs w:val="22"/>
        </w:rPr>
        <w:t xml:space="preserve">Asimismo, existen </w:t>
      </w:r>
      <w:r>
        <w:rPr>
          <w:b/>
          <w:sz w:val="22"/>
          <w:szCs w:val="22"/>
        </w:rPr>
        <w:t>aspectos diagnósticos</w:t>
      </w:r>
      <w:r>
        <w:rPr>
          <w:sz w:val="22"/>
          <w:szCs w:val="22"/>
        </w:rPr>
        <w:t xml:space="preserve"> relacionados con la cultura y el género que afectan el riesgo de aparición y la gravedad del TEPT</w:t>
      </w:r>
      <w:r>
        <w:rPr>
          <w:sz w:val="22"/>
          <w:szCs w:val="22"/>
          <w:vertAlign w:val="superscript"/>
        </w:rPr>
        <w:footnoteReference w:id="6"/>
      </w:r>
      <w:r>
        <w:rPr>
          <w:sz w:val="22"/>
          <w:szCs w:val="22"/>
        </w:rPr>
        <w:t>. En cuanto al primero, para los grupos culturales el desarrollo del TEPT puede cambiar dependiendo las variaciones en el tipo de exposición traumática (por ejemplo, el genocidio), el impacto de la severidad del trastorno en cuanto al significado atribuido al evento traumático (por ejemplo, la incapacidad para llevar a cabo los ritos funerarios después un asesinato en masa) y el contexto sociocultural en curso (por ejemplo, residir cerca de los perpetradores impunes en circunstancias posteriores a los conflictos). En cuanto al género, es posible afirmar que el TEPT es más frecuente entre las mujeres que entre los varones durante toda la vida. En la población general, las mujeres presentan una mayor duración del TEPT en comparación con los varones. Al menos parte del aumento del riesgo de TEPT en las mujeres parece ser atribuible a una mayor probabilidad de exposición a eventos traumáticos, como la violación y otras formas de violencia interpersonal. No obstante, el diagnóstico de TEPT es complejo y requiere de una evaluación detallada por parte de profesionales de salud mental. Los síntomas deben persistir durante más de un mes y causar un deterioro significativo en la vida diaria del individuo para confirmar el diagnóstico.</w:t>
      </w:r>
      <w:r>
        <w:rPr>
          <w:sz w:val="22"/>
          <w:szCs w:val="22"/>
          <w:vertAlign w:val="superscript"/>
        </w:rPr>
        <w:footnoteReference w:id="7"/>
      </w:r>
    </w:p>
    <w:p w14:paraId="0EC48F96" w14:textId="77777777" w:rsidR="00CA3231" w:rsidRDefault="001017FC">
      <w:pPr>
        <w:spacing w:before="240" w:after="240"/>
        <w:jc w:val="both"/>
        <w:rPr>
          <w:sz w:val="22"/>
          <w:szCs w:val="22"/>
        </w:rPr>
      </w:pPr>
      <w:r>
        <w:rPr>
          <w:sz w:val="22"/>
          <w:szCs w:val="22"/>
        </w:rPr>
        <w:t xml:space="preserve">Finalmente, es importante tener en cuenta que el TEPT tiene una serie de consecuencias que afectan la salud mental de las personas que lo padecen, se asocia con la conducta suicida, así como con altos niveles de discapacidad social, ocupacional y física. Los individuos con trastorno de estrés postraumático son un 80% más propensos a presentar síntomas que cumplen con los criterios diagnósticos para, al menos, otro trastorno mental (por ejemplo, depresión, trastorno bipolar, ansiedad o trastornos por consumo de sustancias) que aquellos sin trastorno de estrés postraumático. </w:t>
      </w:r>
    </w:p>
    <w:p w14:paraId="0EC48F97" w14:textId="77777777" w:rsidR="00CA3231" w:rsidRDefault="001017FC">
      <w:pPr>
        <w:jc w:val="both"/>
        <w:rPr>
          <w:b/>
          <w:sz w:val="22"/>
          <w:szCs w:val="22"/>
        </w:rPr>
      </w:pPr>
      <w:r>
        <w:rPr>
          <w:b/>
          <w:sz w:val="22"/>
          <w:szCs w:val="22"/>
        </w:rPr>
        <w:t>Grupos Vulnerables</w:t>
      </w:r>
    </w:p>
    <w:p w14:paraId="0EC48F98" w14:textId="77777777" w:rsidR="00CA3231" w:rsidRDefault="00CA3231">
      <w:pPr>
        <w:jc w:val="both"/>
        <w:rPr>
          <w:b/>
          <w:sz w:val="22"/>
          <w:szCs w:val="22"/>
        </w:rPr>
      </w:pPr>
    </w:p>
    <w:p w14:paraId="0EC48F99" w14:textId="77777777" w:rsidR="00CA3231" w:rsidRDefault="001017FC">
      <w:pPr>
        <w:jc w:val="both"/>
        <w:rPr>
          <w:sz w:val="22"/>
          <w:szCs w:val="22"/>
        </w:rPr>
      </w:pPr>
      <w:r>
        <w:rPr>
          <w:b/>
          <w:sz w:val="22"/>
          <w:szCs w:val="22"/>
        </w:rPr>
        <w:t xml:space="preserve">Los primeros atendientes de emergencias (bomberos, policías, profesional médico, socorristas y otros profesionales de emergencias) </w:t>
      </w:r>
      <w:r>
        <w:rPr>
          <w:sz w:val="22"/>
          <w:szCs w:val="22"/>
        </w:rPr>
        <w:t>son particularmente vulnerables al TEPT debido a la naturaleza de su trabajo, que los expone regularmente a situaciones peligrosas y traumáticas.</w:t>
      </w:r>
      <w:r>
        <w:rPr>
          <w:sz w:val="22"/>
          <w:szCs w:val="22"/>
          <w:vertAlign w:val="superscript"/>
        </w:rPr>
        <w:footnoteReference w:id="8"/>
      </w:r>
      <w:r>
        <w:rPr>
          <w:sz w:val="22"/>
          <w:szCs w:val="22"/>
        </w:rPr>
        <w:t xml:space="preserve"> Estos profesionales enfrentan una presión constante para salvar vidas, a menudo en condiciones extremas, lo que aumenta su riesgo de desarrollar síntomas de TEPT​. Aunque menos visible, el TEPT también afecta a </w:t>
      </w:r>
      <w:r>
        <w:rPr>
          <w:b/>
          <w:sz w:val="22"/>
          <w:szCs w:val="22"/>
        </w:rPr>
        <w:t>psicólogos y otros profesionales de la salud que trabajan en emergencias.</w:t>
      </w:r>
      <w:r>
        <w:rPr>
          <w:sz w:val="22"/>
          <w:szCs w:val="22"/>
        </w:rPr>
        <w:t xml:space="preserve"> Estos profesionales, que a menudo deben lidiar con la angustia emocional de sus pacientes, pueden experimentar lo que se conoce como “trauma vicario”, un tipo de TEPT que surge por la exposición repetida al sufrimiento ajeno​. El desgaste emocional puede llevar a síntomas de TEPT, afectando su capacidad para brindar atención y su bienestar personal</w:t>
      </w:r>
      <w:r>
        <w:rPr>
          <w:sz w:val="22"/>
          <w:szCs w:val="22"/>
          <w:vertAlign w:val="superscript"/>
        </w:rPr>
        <w:footnoteReference w:id="9"/>
      </w:r>
      <w:r>
        <w:rPr>
          <w:sz w:val="22"/>
          <w:szCs w:val="22"/>
        </w:rPr>
        <w:t>.</w:t>
      </w:r>
    </w:p>
    <w:p w14:paraId="0EC48F9A" w14:textId="77777777" w:rsidR="00CA3231" w:rsidRDefault="00CA3231">
      <w:pPr>
        <w:jc w:val="both"/>
        <w:rPr>
          <w:sz w:val="22"/>
          <w:szCs w:val="22"/>
        </w:rPr>
      </w:pPr>
    </w:p>
    <w:p w14:paraId="0EC48F9B" w14:textId="77777777" w:rsidR="00CA3231" w:rsidRDefault="001017FC">
      <w:pPr>
        <w:jc w:val="both"/>
        <w:rPr>
          <w:b/>
          <w:sz w:val="22"/>
          <w:szCs w:val="22"/>
        </w:rPr>
      </w:pPr>
      <w:r>
        <w:rPr>
          <w:b/>
          <w:sz w:val="22"/>
          <w:szCs w:val="22"/>
        </w:rPr>
        <w:t>Estrés postraumático en Bogotá</w:t>
      </w:r>
    </w:p>
    <w:p w14:paraId="0EC48F9C" w14:textId="77777777" w:rsidR="00CA3231" w:rsidRDefault="00CA3231">
      <w:pPr>
        <w:jc w:val="both"/>
        <w:rPr>
          <w:sz w:val="22"/>
          <w:szCs w:val="22"/>
        </w:rPr>
      </w:pPr>
    </w:p>
    <w:p w14:paraId="0EC48F9D" w14:textId="77777777" w:rsidR="00CA3231" w:rsidRDefault="001017FC">
      <w:pPr>
        <w:jc w:val="both"/>
        <w:rPr>
          <w:sz w:val="22"/>
          <w:szCs w:val="22"/>
        </w:rPr>
      </w:pPr>
      <w:r>
        <w:rPr>
          <w:sz w:val="22"/>
          <w:szCs w:val="22"/>
        </w:rPr>
        <w:t>El comportamiento del Estrés postraumático en Bogotá fue descrito en el Estudio de salud mental en Bogotá que se realizó en el año 2023</w:t>
      </w:r>
      <w:r>
        <w:rPr>
          <w:sz w:val="22"/>
          <w:szCs w:val="22"/>
          <w:vertAlign w:val="superscript"/>
        </w:rPr>
        <w:footnoteReference w:id="10"/>
      </w:r>
      <w:r>
        <w:rPr>
          <w:sz w:val="22"/>
          <w:szCs w:val="22"/>
        </w:rPr>
        <w:t xml:space="preserve">. De acuerdo con el estudio, </w:t>
      </w:r>
      <w:r>
        <w:rPr>
          <w:b/>
          <w:sz w:val="22"/>
          <w:szCs w:val="22"/>
        </w:rPr>
        <w:t xml:space="preserve">el 23.69% de los habitantes de Bogotá tienen riesgo de trastorno de estrés postraumático, derivado de la vivencia de experiencias traumáticas o angustiantes, lo que equivale a 1'720.519 personas. </w:t>
      </w:r>
      <w:r>
        <w:rPr>
          <w:sz w:val="22"/>
          <w:szCs w:val="22"/>
        </w:rPr>
        <w:t>Asimismo, el estudio se enfoca en los trastornos duales, es decir, la presencia simultánea en un individuo de un trastorno por consumo de sustancias y un trastorno mental. En otras palabras, se trata de la coexistencia de problemas relacionados con el abuso de sustancias y trastornos psiquiátricos</w:t>
      </w:r>
      <w:r>
        <w:rPr>
          <w:sz w:val="22"/>
          <w:szCs w:val="22"/>
          <w:vertAlign w:val="superscript"/>
        </w:rPr>
        <w:footnoteReference w:id="11"/>
      </w:r>
      <w:r>
        <w:rPr>
          <w:sz w:val="22"/>
          <w:szCs w:val="22"/>
        </w:rPr>
        <w:t xml:space="preserve">, lo cual demuestra una estrecha relación entre un posible TEPT y el consumo problemático de alcohol y sustancias psicoactivas. </w:t>
      </w:r>
    </w:p>
    <w:p w14:paraId="0EC48F9E" w14:textId="77777777" w:rsidR="00CA3231" w:rsidRDefault="00CA3231">
      <w:pPr>
        <w:jc w:val="both"/>
        <w:rPr>
          <w:sz w:val="22"/>
          <w:szCs w:val="22"/>
        </w:rPr>
      </w:pPr>
    </w:p>
    <w:p w14:paraId="0EC48F9F" w14:textId="77777777" w:rsidR="00CA3231" w:rsidRDefault="001017FC">
      <w:pPr>
        <w:jc w:val="both"/>
        <w:rPr>
          <w:sz w:val="22"/>
          <w:szCs w:val="22"/>
        </w:rPr>
      </w:pPr>
      <w:r>
        <w:rPr>
          <w:sz w:val="22"/>
          <w:szCs w:val="22"/>
        </w:rPr>
        <w:t xml:space="preserve">Respecto a lo anterior, se demuestra que el 8.69% de las personas que tienen algún diagnóstico de trastorno mental o del comportamiento tienen consumo riesgoso o perjudicial de bebidas alcohólicas. De estos, </w:t>
      </w:r>
      <w:r>
        <w:rPr>
          <w:b/>
          <w:sz w:val="22"/>
          <w:szCs w:val="22"/>
        </w:rPr>
        <w:t>el 27.79 % tiene un probable trastorno de estrés postraumático</w:t>
      </w:r>
      <w:r>
        <w:rPr>
          <w:b/>
          <w:sz w:val="22"/>
          <w:szCs w:val="22"/>
          <w:vertAlign w:val="superscript"/>
        </w:rPr>
        <w:footnoteReference w:id="12"/>
      </w:r>
      <w:r>
        <w:rPr>
          <w:sz w:val="22"/>
          <w:szCs w:val="22"/>
        </w:rPr>
        <w:t>, siendo el principal trastorno mental con el que se relaciona el consumo riesgoso o perjudicial de bebidas alcohólicas en el estudio. De la misma manera sucede con el consumo de otras sustancias psicoactivas, el 37.03 % de las personas que tienen algún diagnóstico de trastorno mental o del comportamiento tienen diagnóstico de trastorno por consumo de sustancias psicoactivas. De estas personas,</w:t>
      </w:r>
      <w:r>
        <w:rPr>
          <w:b/>
          <w:sz w:val="22"/>
          <w:szCs w:val="22"/>
        </w:rPr>
        <w:t xml:space="preserve"> el 78.33 % tiene un probable trastorno de estrés postraumático</w:t>
      </w:r>
      <w:r>
        <w:rPr>
          <w:sz w:val="22"/>
          <w:szCs w:val="22"/>
        </w:rPr>
        <w:t xml:space="preserve">, siendo nuevamente el principal trastorno mental con el que se relaciona un trastorno dual de consumo problemático de sustancias psicoactivas en el estudio. </w:t>
      </w:r>
    </w:p>
    <w:p w14:paraId="0EC48FA0" w14:textId="77777777" w:rsidR="00CA3231" w:rsidRDefault="00CA3231">
      <w:pPr>
        <w:jc w:val="both"/>
        <w:rPr>
          <w:sz w:val="22"/>
          <w:szCs w:val="22"/>
        </w:rPr>
      </w:pPr>
    </w:p>
    <w:p w14:paraId="0EC48FA1" w14:textId="77777777" w:rsidR="00CA3231" w:rsidRDefault="001017FC">
      <w:pPr>
        <w:jc w:val="both"/>
        <w:rPr>
          <w:b/>
          <w:sz w:val="22"/>
          <w:szCs w:val="22"/>
        </w:rPr>
      </w:pPr>
      <w:r>
        <w:rPr>
          <w:sz w:val="22"/>
          <w:szCs w:val="22"/>
        </w:rPr>
        <w:t xml:space="preserve">Por otro lado, este análisis de trastorno dual, también es visible a nivel territorial, pues las personas que reflejan un consumo problemático de alcohol y, a su vez, tienen un probable trastorno de estrés postraumático viven principalmente en Teusaquillo, Chapinero y Sumapaz. Para el caso de las personas que reflejan un consumo problemático de otras sustancias psicoactivas y, a su vez, tienen un probable trastorno de estrés postraumático las localidades donde principalmente se agrupan son Ciudad Bolívar, Rafael Uribe Uribe y Santa Fe, lo cual denota </w:t>
      </w:r>
      <w:r>
        <w:rPr>
          <w:b/>
          <w:sz w:val="22"/>
          <w:szCs w:val="22"/>
        </w:rPr>
        <w:t>al nivel socioeconómico como un factor diferenciador en términos de la existencia de un trastorno dual relacionado con un posible TEPT.</w:t>
      </w:r>
    </w:p>
    <w:p w14:paraId="0EC48FA2" w14:textId="77777777" w:rsidR="00CA3231" w:rsidRDefault="00CA3231">
      <w:pPr>
        <w:jc w:val="both"/>
        <w:rPr>
          <w:sz w:val="22"/>
          <w:szCs w:val="22"/>
        </w:rPr>
      </w:pPr>
    </w:p>
    <w:p w14:paraId="0EC48FA3" w14:textId="77777777" w:rsidR="00CA3231" w:rsidRDefault="001017FC">
      <w:pPr>
        <w:jc w:val="both"/>
        <w:rPr>
          <w:sz w:val="22"/>
          <w:szCs w:val="22"/>
        </w:rPr>
      </w:pPr>
      <w:r>
        <w:rPr>
          <w:sz w:val="22"/>
          <w:szCs w:val="22"/>
        </w:rPr>
        <w:t>Finalmente, al referirse al estrés postraumático, el estudio ha concluido la importancia de hacer a la temática de interés público, pues aunque “se hace evidente que entre las personas que aseguran que alguna vez en su vida han sido diagnosticados por un profesional de la salud o salud mental, los cuatro diagnósticos más recurrentes son: la depresión, la ansiedad generalizada, la epilepsia y el trastorno bipolar (...) en relación a los riesgos o indicios el orden de los posibles trastornos con mayor recurrencia cambia: siendo el mayor el trastorno de estrés postraumático (PTSD); seguido del riesgo de ansiedad generalizada, riesgo de depresión y riesgo de trastorno bipolar”</w:t>
      </w:r>
      <w:r>
        <w:rPr>
          <w:sz w:val="22"/>
          <w:szCs w:val="22"/>
          <w:vertAlign w:val="superscript"/>
        </w:rPr>
        <w:footnoteReference w:id="13"/>
      </w:r>
      <w:r>
        <w:rPr>
          <w:sz w:val="22"/>
          <w:szCs w:val="22"/>
        </w:rPr>
        <w:t>, es decir,</w:t>
      </w:r>
      <w:r>
        <w:rPr>
          <w:b/>
          <w:sz w:val="22"/>
          <w:szCs w:val="22"/>
        </w:rPr>
        <w:t xml:space="preserve"> la ciudad puede estar experimentando una falta de diagnóstico del TEPT, pues aunque no es parte mayoritaria de los diagnósticos oficiales, el estudio demuestra la prevalencia de rasgos asociados al TEPT al evaluar los datos asociados a los riesgos e indicios de un trastorno de salud mental. </w:t>
      </w:r>
      <w:r>
        <w:rPr>
          <w:sz w:val="22"/>
          <w:szCs w:val="22"/>
        </w:rPr>
        <w:t>Es así, como el estudio se refiere al “trastorno de estrés postraumático como un indicador que debe ser prioridad para el distrito, recordando que las experiencias traumáticas o angustiantes no sólo se derivan del conflicto, que ha vivido tanto Colombia como los habitantes de Bogotá, sino que también se deriva de situaciones de violencias cotidianas”</w:t>
      </w:r>
      <w:r>
        <w:rPr>
          <w:sz w:val="22"/>
          <w:szCs w:val="22"/>
          <w:vertAlign w:val="superscript"/>
        </w:rPr>
        <w:footnoteReference w:id="14"/>
      </w:r>
    </w:p>
    <w:p w14:paraId="0EC48FA4" w14:textId="77777777" w:rsidR="00CA3231" w:rsidRDefault="00CA3231">
      <w:pPr>
        <w:jc w:val="both"/>
        <w:rPr>
          <w:sz w:val="22"/>
          <w:szCs w:val="22"/>
        </w:rPr>
      </w:pPr>
    </w:p>
    <w:p w14:paraId="0EC48FA5" w14:textId="77777777" w:rsidR="00CA3231" w:rsidRDefault="001017FC">
      <w:pPr>
        <w:jc w:val="both"/>
        <w:rPr>
          <w:sz w:val="22"/>
          <w:szCs w:val="22"/>
        </w:rPr>
      </w:pPr>
      <w:r>
        <w:rPr>
          <w:sz w:val="22"/>
          <w:szCs w:val="22"/>
        </w:rPr>
        <w:t>Por todo lo anterior, las personas que habitan ciudades con altos índices de inseguridad tienen una mayor probabilidad de presenciar situaciones traumáticas que pueden desencadenar en el desarrollo de TEPT, lo que además altera su sentido de seguridad y bienestar en la ciudad. Por todo lo anterior, en una ciudad donde la inseguridad es un problema recurrente, es crucial contar con estrategias que prevengan, atiendan y mitiguen las consecuencias del TEPT.</w:t>
      </w:r>
    </w:p>
    <w:p w14:paraId="0EC48FA6" w14:textId="77777777" w:rsidR="00CA3231" w:rsidRDefault="00CA3231">
      <w:pPr>
        <w:jc w:val="both"/>
        <w:rPr>
          <w:sz w:val="22"/>
          <w:szCs w:val="22"/>
        </w:rPr>
      </w:pPr>
    </w:p>
    <w:p w14:paraId="0EC48FA7" w14:textId="77777777" w:rsidR="00CA3231" w:rsidRDefault="001017FC">
      <w:pPr>
        <w:jc w:val="both"/>
        <w:rPr>
          <w:b/>
          <w:sz w:val="22"/>
          <w:szCs w:val="22"/>
        </w:rPr>
      </w:pPr>
      <w:r>
        <w:rPr>
          <w:b/>
          <w:sz w:val="22"/>
          <w:szCs w:val="22"/>
        </w:rPr>
        <w:t>Experiencias Internacionales y Modelos de Intervención</w:t>
      </w:r>
    </w:p>
    <w:p w14:paraId="0EC48FA8" w14:textId="77777777" w:rsidR="00CA3231" w:rsidRDefault="00CA3231">
      <w:pPr>
        <w:jc w:val="both"/>
        <w:rPr>
          <w:b/>
          <w:sz w:val="22"/>
          <w:szCs w:val="22"/>
        </w:rPr>
      </w:pPr>
    </w:p>
    <w:p w14:paraId="0EC48FA9" w14:textId="77777777" w:rsidR="00CA3231" w:rsidRDefault="001017FC">
      <w:pPr>
        <w:jc w:val="both"/>
        <w:rPr>
          <w:sz w:val="22"/>
          <w:szCs w:val="22"/>
        </w:rPr>
      </w:pPr>
      <w:r>
        <w:rPr>
          <w:sz w:val="22"/>
          <w:szCs w:val="22"/>
        </w:rPr>
        <w:t xml:space="preserve">El enfoque en el tratamiento del Trastorno de Estrés Postraumático (TEPT) ha sido abordado en diversos contextos internacionales con una variedad de estrategias y políticas públicas. Por ejemplo, en </w:t>
      </w:r>
      <w:r>
        <w:rPr>
          <w:b/>
          <w:sz w:val="22"/>
          <w:szCs w:val="22"/>
        </w:rPr>
        <w:t>Estados Unidos</w:t>
      </w:r>
      <w:r>
        <w:rPr>
          <w:sz w:val="22"/>
          <w:szCs w:val="22"/>
        </w:rPr>
        <w:t>, el Programa de Atención al Trauma para Primeros Respondientes (First Responders Trauma Support Program) se ha implementado para proporcionar apoyo psicológico a bomberos y personal de emergencias</w:t>
      </w:r>
      <w:r>
        <w:rPr>
          <w:sz w:val="22"/>
          <w:szCs w:val="22"/>
          <w:vertAlign w:val="superscript"/>
        </w:rPr>
        <w:footnoteReference w:id="15"/>
      </w:r>
      <w:r>
        <w:rPr>
          <w:sz w:val="22"/>
          <w:szCs w:val="22"/>
        </w:rPr>
        <w:t>. Este programa incluye terapia cognitivo-conductual, apoyo entre pares y entrenamiento en resiliencia emocional, y ha demostrado ser efectivo en reducir síntomas de TEPT entre los primeros respondedores (National Institute for Occupational Safety and Health, 2021).</w:t>
      </w:r>
      <w:r>
        <w:rPr>
          <w:sz w:val="22"/>
          <w:szCs w:val="22"/>
          <w:vertAlign w:val="superscript"/>
        </w:rPr>
        <w:footnoteReference w:id="16"/>
      </w:r>
      <w:r>
        <w:rPr>
          <w:sz w:val="22"/>
          <w:szCs w:val="22"/>
          <w:vertAlign w:val="superscript"/>
        </w:rPr>
        <w:footnoteReference w:id="17"/>
      </w:r>
    </w:p>
    <w:p w14:paraId="0EC48FAA" w14:textId="77777777" w:rsidR="00CA3231" w:rsidRDefault="00CA3231">
      <w:pPr>
        <w:jc w:val="both"/>
        <w:rPr>
          <w:sz w:val="22"/>
          <w:szCs w:val="22"/>
        </w:rPr>
      </w:pPr>
    </w:p>
    <w:p w14:paraId="0EC48FAB" w14:textId="77777777" w:rsidR="00CA3231" w:rsidRDefault="001017FC">
      <w:pPr>
        <w:jc w:val="both"/>
        <w:rPr>
          <w:sz w:val="22"/>
          <w:szCs w:val="22"/>
        </w:rPr>
      </w:pPr>
      <w:r>
        <w:rPr>
          <w:sz w:val="22"/>
          <w:szCs w:val="22"/>
        </w:rPr>
        <w:t xml:space="preserve">En </w:t>
      </w:r>
      <w:r>
        <w:rPr>
          <w:b/>
          <w:sz w:val="22"/>
          <w:szCs w:val="22"/>
        </w:rPr>
        <w:t>Europa</w:t>
      </w:r>
      <w:r>
        <w:rPr>
          <w:sz w:val="22"/>
          <w:szCs w:val="22"/>
        </w:rPr>
        <w:t>, el modelo de intervención de la Red Europea de Apoyo a Víctimas de Trauma (European Trauma Support Network) se enfoca en la integración de servicios de salud mental para víctimas de trauma en múltiples países</w:t>
      </w:r>
      <w:r>
        <w:rPr>
          <w:sz w:val="22"/>
          <w:szCs w:val="22"/>
          <w:vertAlign w:val="superscript"/>
        </w:rPr>
        <w:footnoteReference w:id="18"/>
      </w:r>
      <w:r>
        <w:rPr>
          <w:sz w:val="22"/>
          <w:szCs w:val="22"/>
        </w:rPr>
        <w:t>. Este modelo promueve la coordinación entre servicios médicos, psicológicos y sociales, y ha sido adaptado en países como Alemania y Francia para abordar las necesidades específicas de las víctimas de emergencias y el personal de respuesta. La red proporciona formación continua y desarrollo profesional para los proveedores de servicios, lo cual es fundamental para una intervención efectiva (European Centre for Victims of Crime, 2020).</w:t>
      </w:r>
    </w:p>
    <w:p w14:paraId="0EC48FAC" w14:textId="77777777" w:rsidR="00CA3231" w:rsidRDefault="00CA3231">
      <w:pPr>
        <w:jc w:val="both"/>
        <w:rPr>
          <w:sz w:val="22"/>
          <w:szCs w:val="22"/>
        </w:rPr>
      </w:pPr>
    </w:p>
    <w:p w14:paraId="0EC48FAD" w14:textId="77777777" w:rsidR="00CA3231" w:rsidRDefault="001017FC">
      <w:pPr>
        <w:jc w:val="both"/>
        <w:rPr>
          <w:sz w:val="22"/>
          <w:szCs w:val="22"/>
        </w:rPr>
      </w:pPr>
      <w:r>
        <w:rPr>
          <w:sz w:val="22"/>
          <w:szCs w:val="22"/>
        </w:rPr>
        <w:t xml:space="preserve">Asimismo, en </w:t>
      </w:r>
      <w:r>
        <w:rPr>
          <w:b/>
          <w:sz w:val="22"/>
          <w:szCs w:val="22"/>
        </w:rPr>
        <w:t>Australia,</w:t>
      </w:r>
      <w:r>
        <w:rPr>
          <w:sz w:val="22"/>
          <w:szCs w:val="22"/>
        </w:rPr>
        <w:t xml:space="preserve"> el Programa de Apoyo a Emergencias Psicológicas (Emergency Psychological Support Program) se ha diseñado para apoyar tanto a las víctimas de desastres naturales como a los profesionales que los atienden. Este programa incluye servicios de intervención temprana, asesoramiento psicológico y talleres de manejo del estrés, y ha mostrado resultados positivos en la reducción de la incidencia de TEPT entre los trabajadores de emergencia y las personas afectadas por desastres (Australian Psychological Society, 2022).</w:t>
      </w:r>
      <w:r>
        <w:rPr>
          <w:sz w:val="22"/>
          <w:szCs w:val="22"/>
          <w:vertAlign w:val="superscript"/>
        </w:rPr>
        <w:footnoteReference w:id="19"/>
      </w:r>
    </w:p>
    <w:p w14:paraId="0EC48FAE" w14:textId="77777777" w:rsidR="00CA3231" w:rsidRDefault="00CA3231">
      <w:pPr>
        <w:jc w:val="both"/>
        <w:rPr>
          <w:sz w:val="22"/>
          <w:szCs w:val="22"/>
        </w:rPr>
      </w:pPr>
    </w:p>
    <w:p w14:paraId="0EC48FAF" w14:textId="77777777" w:rsidR="00CA3231" w:rsidRDefault="001017FC">
      <w:pPr>
        <w:jc w:val="both"/>
        <w:rPr>
          <w:b/>
          <w:sz w:val="22"/>
          <w:szCs w:val="22"/>
        </w:rPr>
      </w:pPr>
      <w:r>
        <w:rPr>
          <w:b/>
          <w:sz w:val="22"/>
          <w:szCs w:val="22"/>
        </w:rPr>
        <w:t>Políticas Públicas en Otras Ciudades</w:t>
      </w:r>
    </w:p>
    <w:p w14:paraId="0EC48FB0" w14:textId="77777777" w:rsidR="00CA3231" w:rsidRDefault="00CA3231">
      <w:pPr>
        <w:jc w:val="both"/>
        <w:rPr>
          <w:b/>
          <w:sz w:val="22"/>
          <w:szCs w:val="22"/>
        </w:rPr>
      </w:pPr>
    </w:p>
    <w:p w14:paraId="0EC48FB1" w14:textId="77777777" w:rsidR="00CA3231" w:rsidRDefault="001017FC">
      <w:pPr>
        <w:jc w:val="both"/>
        <w:rPr>
          <w:sz w:val="22"/>
          <w:szCs w:val="22"/>
        </w:rPr>
      </w:pPr>
      <w:r>
        <w:rPr>
          <w:sz w:val="22"/>
          <w:szCs w:val="22"/>
        </w:rPr>
        <w:t xml:space="preserve">Las políticas públicas orientadas a la gestión del TEPT y la salud mental en ciudades internacionales destacan la importancia de un enfoque integral y coordinado. En </w:t>
      </w:r>
      <w:r>
        <w:rPr>
          <w:b/>
          <w:sz w:val="22"/>
          <w:szCs w:val="22"/>
        </w:rPr>
        <w:t>Ciudad de México</w:t>
      </w:r>
      <w:r>
        <w:rPr>
          <w:sz w:val="22"/>
          <w:szCs w:val="22"/>
        </w:rPr>
        <w:t>, por ejemplo, la Secretaría de Salud implementó el Programa de Atención Integral a Víctimas de Trauma, el cual ofrece servicios de psicoterapia, apoyo emocional y programas de prevención del suicidio para víctimas de violencia y desastres</w:t>
      </w:r>
      <w:r>
        <w:rPr>
          <w:sz w:val="22"/>
          <w:szCs w:val="22"/>
          <w:vertAlign w:val="superscript"/>
        </w:rPr>
        <w:footnoteReference w:id="20"/>
      </w:r>
      <w:r>
        <w:rPr>
          <w:sz w:val="22"/>
          <w:szCs w:val="22"/>
        </w:rPr>
        <w:t>. Este enfoque integral ha sido clave para mejorar la calidad de vida de los afectados y reducir la incidencia de TEPT en la población vulnerable (Secretaría de Salud de Ciudad de México, 2021).</w:t>
      </w:r>
    </w:p>
    <w:p w14:paraId="0EC48FB2" w14:textId="77777777" w:rsidR="00CA3231" w:rsidRDefault="00CA3231">
      <w:pPr>
        <w:jc w:val="both"/>
        <w:rPr>
          <w:sz w:val="22"/>
          <w:szCs w:val="22"/>
        </w:rPr>
      </w:pPr>
    </w:p>
    <w:p w14:paraId="0EC48FB3" w14:textId="77777777" w:rsidR="00CA3231" w:rsidRDefault="001017FC">
      <w:pPr>
        <w:jc w:val="both"/>
        <w:rPr>
          <w:sz w:val="22"/>
          <w:szCs w:val="22"/>
        </w:rPr>
      </w:pPr>
      <w:r>
        <w:rPr>
          <w:sz w:val="22"/>
          <w:szCs w:val="22"/>
        </w:rPr>
        <w:t xml:space="preserve">En </w:t>
      </w:r>
      <w:r>
        <w:rPr>
          <w:b/>
          <w:sz w:val="22"/>
          <w:szCs w:val="22"/>
        </w:rPr>
        <w:t>Barcelona</w:t>
      </w:r>
      <w:r>
        <w:rPr>
          <w:sz w:val="22"/>
          <w:szCs w:val="22"/>
        </w:rPr>
        <w:t>, el Ayuntamiento ha desarrollado una estrategia de salud mental que incluye la atención a emergencias y desastres. La estrategia se basa en la coordinación entre servicios de emergencia, centros de salud mental y organizaciones comunitarias para ofrecer apoyo psicológico y social a las víctimas. Este modelo ha servido como referencia para otras ciudades españolas y europeas, subrayando la importancia de una red de apoyo integrada y accesible para los afectados (Ajuntament de Barcelona, 2023).</w:t>
      </w:r>
      <w:r>
        <w:rPr>
          <w:sz w:val="22"/>
          <w:szCs w:val="22"/>
          <w:vertAlign w:val="superscript"/>
        </w:rPr>
        <w:footnoteReference w:id="21"/>
      </w:r>
    </w:p>
    <w:p w14:paraId="0EC48FB4" w14:textId="77777777" w:rsidR="00CA3231" w:rsidRDefault="00CA3231">
      <w:pPr>
        <w:jc w:val="both"/>
        <w:rPr>
          <w:b/>
          <w:sz w:val="22"/>
          <w:szCs w:val="22"/>
        </w:rPr>
      </w:pPr>
    </w:p>
    <w:p w14:paraId="0EC48FB5" w14:textId="77777777" w:rsidR="00CA3231" w:rsidRDefault="001017FC">
      <w:pPr>
        <w:jc w:val="both"/>
        <w:rPr>
          <w:b/>
          <w:sz w:val="22"/>
          <w:szCs w:val="22"/>
        </w:rPr>
      </w:pPr>
      <w:r>
        <w:rPr>
          <w:b/>
          <w:sz w:val="22"/>
          <w:szCs w:val="22"/>
        </w:rPr>
        <w:t>Programas de Apoyo para Personal de Emergencias</w:t>
      </w:r>
    </w:p>
    <w:p w14:paraId="0EC48FB6" w14:textId="77777777" w:rsidR="00CA3231" w:rsidRDefault="00CA3231">
      <w:pPr>
        <w:jc w:val="both"/>
        <w:rPr>
          <w:b/>
          <w:sz w:val="22"/>
          <w:szCs w:val="22"/>
        </w:rPr>
      </w:pPr>
    </w:p>
    <w:p w14:paraId="0EC48FB7" w14:textId="77777777" w:rsidR="00CA3231" w:rsidRDefault="001017FC">
      <w:pPr>
        <w:jc w:val="both"/>
        <w:rPr>
          <w:sz w:val="22"/>
          <w:szCs w:val="22"/>
        </w:rPr>
      </w:pPr>
      <w:r>
        <w:rPr>
          <w:sz w:val="22"/>
          <w:szCs w:val="22"/>
        </w:rPr>
        <w:t xml:space="preserve">El apoyo a los profesionales que enfrentan situaciones traumáticas es fundamental para mantener su bienestar y eficacia en la atención. En el </w:t>
      </w:r>
      <w:r>
        <w:rPr>
          <w:b/>
          <w:sz w:val="22"/>
          <w:szCs w:val="22"/>
        </w:rPr>
        <w:t>Reino Unido</w:t>
      </w:r>
      <w:r>
        <w:rPr>
          <w:sz w:val="22"/>
          <w:szCs w:val="22"/>
        </w:rPr>
        <w:t>, el Servicio de Apoyo Psicológico para Bomberos (Firefighters' Psychological Support Service) proporciona una amplia gama de servicios, incluyendo asesoramiento confidencial, grupos de apoyo y recursos educativos sobre manejo del estrés. Este servicio ha sido elogiado por su capacidad para identificar y tratar el TEPT de manera oportuna, y ha servido como modelo para otros países (Fire Brigade Union, 2020).</w:t>
      </w:r>
    </w:p>
    <w:p w14:paraId="0EC48FB8" w14:textId="77777777" w:rsidR="00CA3231" w:rsidRDefault="00CA3231">
      <w:pPr>
        <w:jc w:val="both"/>
        <w:rPr>
          <w:sz w:val="22"/>
          <w:szCs w:val="22"/>
        </w:rPr>
      </w:pPr>
    </w:p>
    <w:p w14:paraId="0EC48FB9" w14:textId="77777777" w:rsidR="00CA3231" w:rsidRDefault="001017FC">
      <w:pPr>
        <w:jc w:val="both"/>
        <w:rPr>
          <w:sz w:val="22"/>
          <w:szCs w:val="22"/>
        </w:rPr>
      </w:pPr>
      <w:r>
        <w:rPr>
          <w:sz w:val="22"/>
          <w:szCs w:val="22"/>
        </w:rPr>
        <w:t xml:space="preserve">En </w:t>
      </w:r>
      <w:r>
        <w:rPr>
          <w:b/>
          <w:sz w:val="22"/>
          <w:szCs w:val="22"/>
        </w:rPr>
        <w:t>Canadá,</w:t>
      </w:r>
      <w:r>
        <w:rPr>
          <w:sz w:val="22"/>
          <w:szCs w:val="22"/>
        </w:rPr>
        <w:t xml:space="preserve"> el Programa de Bienestar Psicológico para Primeros Respondedores (First Responders Mental Health Program) ofrece capacitación especializada en el manejo del estrés y el TEPT para policías, bomberos y paramédicos</w:t>
      </w:r>
      <w:r>
        <w:rPr>
          <w:sz w:val="22"/>
          <w:szCs w:val="22"/>
          <w:vertAlign w:val="superscript"/>
        </w:rPr>
        <w:footnoteReference w:id="22"/>
      </w:r>
      <w:r>
        <w:rPr>
          <w:sz w:val="22"/>
          <w:szCs w:val="22"/>
        </w:rPr>
        <w:t>. Este programa se centra en la prevención y la intervención temprana, proporcionando acceso a servicios de salud mental y apoyo entre colegas, lo que contribuye a una reducción significativa en los síntomas de TEPT entre el personal de emergencia (Canadian Mental Health Association, 2021).</w:t>
      </w:r>
    </w:p>
    <w:p w14:paraId="0EC48FBA" w14:textId="77777777" w:rsidR="00CA3231" w:rsidRDefault="00CA3231">
      <w:pPr>
        <w:jc w:val="both"/>
        <w:rPr>
          <w:sz w:val="22"/>
          <w:szCs w:val="22"/>
        </w:rPr>
      </w:pPr>
    </w:p>
    <w:p w14:paraId="0EC48FBB" w14:textId="77777777" w:rsidR="00CA3231" w:rsidRDefault="001017FC">
      <w:pPr>
        <w:jc w:val="both"/>
        <w:rPr>
          <w:b/>
          <w:sz w:val="22"/>
          <w:szCs w:val="22"/>
        </w:rPr>
      </w:pPr>
      <w:r>
        <w:rPr>
          <w:b/>
          <w:sz w:val="22"/>
          <w:szCs w:val="22"/>
        </w:rPr>
        <w:t>Estrategias de Atención en Comunidades Afectadas por la Violencia</w:t>
      </w:r>
    </w:p>
    <w:p w14:paraId="0EC48FBC" w14:textId="77777777" w:rsidR="00CA3231" w:rsidRDefault="00CA3231">
      <w:pPr>
        <w:jc w:val="both"/>
        <w:rPr>
          <w:b/>
          <w:sz w:val="22"/>
          <w:szCs w:val="22"/>
        </w:rPr>
      </w:pPr>
    </w:p>
    <w:p w14:paraId="0EC48FBD" w14:textId="77777777" w:rsidR="00CA3231" w:rsidRDefault="001017FC">
      <w:pPr>
        <w:jc w:val="both"/>
        <w:rPr>
          <w:sz w:val="22"/>
          <w:szCs w:val="22"/>
        </w:rPr>
      </w:pPr>
      <w:r>
        <w:rPr>
          <w:sz w:val="22"/>
          <w:szCs w:val="22"/>
        </w:rPr>
        <w:t xml:space="preserve">La atención a las comunidades afectadas por la violencia requiere una estrategia multifacética que aborde tanto el trauma individual como el impacto comunitario. En </w:t>
      </w:r>
      <w:r>
        <w:rPr>
          <w:b/>
          <w:sz w:val="22"/>
          <w:szCs w:val="22"/>
        </w:rPr>
        <w:t>Colombia,</w:t>
      </w:r>
      <w:r>
        <w:rPr>
          <w:sz w:val="22"/>
          <w:szCs w:val="22"/>
        </w:rPr>
        <w:t xml:space="preserve"> la Red Nacional de Atención Psicosocial para Víctimas de Violencia (Red Nacional de Atención Psicosocial) ofrece servicios de apoyo emocional, terapia grupal y programas de rehabilitación para las víctimas de violencia. Este modelo se enfoca en la integración de servicios y el fortalecimiento de redes comunitarias para mejorar el bienestar psicológico y social de los afectados (Gobierno de Colombia, 2022).</w:t>
      </w:r>
      <w:r>
        <w:rPr>
          <w:sz w:val="22"/>
          <w:szCs w:val="22"/>
          <w:vertAlign w:val="superscript"/>
        </w:rPr>
        <w:footnoteReference w:id="23"/>
      </w:r>
    </w:p>
    <w:p w14:paraId="0EC48FBE" w14:textId="77777777" w:rsidR="00CA3231" w:rsidRDefault="00CA3231">
      <w:pPr>
        <w:jc w:val="both"/>
        <w:rPr>
          <w:sz w:val="22"/>
          <w:szCs w:val="22"/>
        </w:rPr>
      </w:pPr>
    </w:p>
    <w:p w14:paraId="0EC48FBF" w14:textId="77777777" w:rsidR="00CA3231" w:rsidRDefault="001017FC">
      <w:pPr>
        <w:jc w:val="both"/>
        <w:rPr>
          <w:sz w:val="22"/>
          <w:szCs w:val="22"/>
        </w:rPr>
      </w:pPr>
      <w:r>
        <w:rPr>
          <w:sz w:val="22"/>
          <w:szCs w:val="22"/>
        </w:rPr>
        <w:t xml:space="preserve">En </w:t>
      </w:r>
      <w:r>
        <w:rPr>
          <w:b/>
          <w:sz w:val="22"/>
          <w:szCs w:val="22"/>
        </w:rPr>
        <w:t>Sudáfrica,</w:t>
      </w:r>
      <w:r>
        <w:rPr>
          <w:sz w:val="22"/>
          <w:szCs w:val="22"/>
        </w:rPr>
        <w:t xml:space="preserve"> el Programa de Apoyo Psicosocial para Comunidades Afectadas por la Violencia (Psychosocial Support Program) se centra en la atención integral y la resiliencia comunitaria. El programa incluye capacitación para líderes comunitarios, apoyo psicológico individual y grupal, y actividades de desarrollo comunitario para abordar los efectos del trauma y fomentar la recuperación colectiva (South African Human Sciences Research Council, 2021).</w:t>
      </w:r>
    </w:p>
    <w:p w14:paraId="0EC48FC0" w14:textId="77777777" w:rsidR="00CA3231" w:rsidRDefault="00CA3231">
      <w:pPr>
        <w:jc w:val="both"/>
        <w:rPr>
          <w:sz w:val="22"/>
          <w:szCs w:val="22"/>
        </w:rPr>
      </w:pPr>
    </w:p>
    <w:p w14:paraId="0EC48FC1" w14:textId="77777777" w:rsidR="00CA3231" w:rsidRDefault="001017FC">
      <w:pPr>
        <w:jc w:val="both"/>
        <w:rPr>
          <w:sz w:val="22"/>
          <w:szCs w:val="22"/>
        </w:rPr>
      </w:pPr>
      <w:r>
        <w:rPr>
          <w:sz w:val="22"/>
          <w:szCs w:val="22"/>
        </w:rPr>
        <w:t xml:space="preserve">En </w:t>
      </w:r>
      <w:r>
        <w:rPr>
          <w:b/>
          <w:sz w:val="22"/>
          <w:szCs w:val="22"/>
        </w:rPr>
        <w:t>México,</w:t>
      </w:r>
      <w:r>
        <w:rPr>
          <w:sz w:val="22"/>
          <w:szCs w:val="22"/>
        </w:rPr>
        <w:t xml:space="preserve"> la Estrategia Nacional para la Atención de Víctimas de Violencia (National Strategy for Victim Support) proporciona un enfoque integral que combina servicios de salud mental, asistencia legal y apoyo social para las víctimas de violencia. Este enfoque ha demostrado ser efectivo en la reducción de los síntomas de TEPT y en la promoción de la recuperación a largo plazo, destacando la importancia de una respuesta coordinada y holística (Gobierno de México, 2023).</w:t>
      </w:r>
    </w:p>
    <w:p w14:paraId="0EC48FC2" w14:textId="77777777" w:rsidR="00CA3231" w:rsidRDefault="00CA3231">
      <w:pPr>
        <w:jc w:val="both"/>
        <w:rPr>
          <w:sz w:val="22"/>
          <w:szCs w:val="22"/>
        </w:rPr>
      </w:pPr>
    </w:p>
    <w:p w14:paraId="0EC48FC3" w14:textId="77777777" w:rsidR="00CA3231" w:rsidRDefault="00CA3231">
      <w:pPr>
        <w:jc w:val="both"/>
        <w:rPr>
          <w:b/>
          <w:sz w:val="22"/>
          <w:szCs w:val="22"/>
        </w:rPr>
      </w:pPr>
    </w:p>
    <w:p w14:paraId="0EC48FC4" w14:textId="77777777" w:rsidR="00CA3231" w:rsidRDefault="001017FC">
      <w:pPr>
        <w:spacing w:line="259" w:lineRule="auto"/>
        <w:rPr>
          <w:b/>
          <w:sz w:val="22"/>
          <w:szCs w:val="22"/>
        </w:rPr>
      </w:pPr>
      <w:r>
        <w:rPr>
          <w:b/>
          <w:sz w:val="22"/>
          <w:szCs w:val="22"/>
        </w:rPr>
        <w:t xml:space="preserve">   III.  MARCO JURÍDICO Y COMPETENCIA DEL CONCEJO DE BOGOTÁ</w:t>
      </w:r>
    </w:p>
    <w:p w14:paraId="0EC48FC5" w14:textId="77777777" w:rsidR="00CA3231" w:rsidRDefault="00CA3231">
      <w:pPr>
        <w:widowControl w:val="0"/>
        <w:spacing w:line="276" w:lineRule="auto"/>
        <w:jc w:val="both"/>
        <w:rPr>
          <w:sz w:val="22"/>
          <w:szCs w:val="22"/>
        </w:rPr>
      </w:pPr>
    </w:p>
    <w:p w14:paraId="0EC48FC6" w14:textId="77777777" w:rsidR="00CA3231" w:rsidRDefault="001017FC">
      <w:pPr>
        <w:widowControl w:val="0"/>
        <w:spacing w:line="276" w:lineRule="auto"/>
        <w:jc w:val="both"/>
        <w:rPr>
          <w:sz w:val="22"/>
          <w:szCs w:val="22"/>
        </w:rPr>
      </w:pPr>
      <w:r>
        <w:rPr>
          <w:sz w:val="22"/>
          <w:szCs w:val="22"/>
        </w:rPr>
        <w:t xml:space="preserve">En atención a lo dispuesto en el Decreto Ley 1421 de 1993 “Por el cual se dicta el régimen especial para el Distrito Capital de Santafé de Bogotá”, especialmente en los artículos 8, 12, y 13 el Concejo de Bogotá es competente para tramitar este Proyecto de Acuerdo ya que los contenidos del mismo no versan sobre los aspectos enunciados en los ordinales 2°, 3°, 4°, 5°, 8°, 9°, 14, 16, 17, y 21, del artículo 12 del Decreto Ley 1421 de 1993 la presentación de esta iniciativa no se encuentra restringida al Ejecutivo. </w:t>
      </w:r>
    </w:p>
    <w:p w14:paraId="0EC48FC7" w14:textId="77777777" w:rsidR="00CA3231" w:rsidRDefault="00CA3231">
      <w:pPr>
        <w:widowControl w:val="0"/>
        <w:spacing w:line="276" w:lineRule="auto"/>
        <w:jc w:val="both"/>
        <w:rPr>
          <w:sz w:val="22"/>
          <w:szCs w:val="22"/>
        </w:rPr>
      </w:pPr>
    </w:p>
    <w:p w14:paraId="0EC48FC8" w14:textId="77777777" w:rsidR="00CA3231" w:rsidRDefault="001017FC">
      <w:pPr>
        <w:widowControl w:val="0"/>
        <w:numPr>
          <w:ilvl w:val="0"/>
          <w:numId w:val="7"/>
        </w:numPr>
        <w:spacing w:line="276" w:lineRule="auto"/>
        <w:jc w:val="both"/>
        <w:rPr>
          <w:sz w:val="22"/>
          <w:szCs w:val="22"/>
        </w:rPr>
      </w:pPr>
      <w:r>
        <w:rPr>
          <w:sz w:val="22"/>
          <w:szCs w:val="22"/>
        </w:rPr>
        <w:t xml:space="preserve">Decreto Ley 1421 de 1993, Artículo 8. Funciones generales. El Concejo es la suprema autoridad del Distrito Capital. En materia administrativa sus atribuciones son de carácter normativo. También le corresponde vigilar y controlar la gestión que cumplan las autoridades distritales. </w:t>
      </w:r>
    </w:p>
    <w:p w14:paraId="0EC48FC9" w14:textId="77777777" w:rsidR="00CA3231" w:rsidRDefault="001017FC">
      <w:pPr>
        <w:widowControl w:val="0"/>
        <w:numPr>
          <w:ilvl w:val="0"/>
          <w:numId w:val="7"/>
        </w:numPr>
        <w:spacing w:line="276" w:lineRule="auto"/>
        <w:jc w:val="both"/>
        <w:rPr>
          <w:sz w:val="22"/>
          <w:szCs w:val="22"/>
        </w:rPr>
      </w:pPr>
      <w:r>
        <w:rPr>
          <w:sz w:val="22"/>
          <w:szCs w:val="22"/>
        </w:rPr>
        <w:t>Decreto Ley 1421 de 1993, Artículo 12. – Atribuciones. Corresponde al Concejo Distrital, de conformidad con la Constitución y la ley:</w:t>
      </w:r>
    </w:p>
    <w:p w14:paraId="0EC48FCA" w14:textId="77777777" w:rsidR="00CA3231" w:rsidRDefault="001017FC">
      <w:pPr>
        <w:widowControl w:val="0"/>
        <w:numPr>
          <w:ilvl w:val="0"/>
          <w:numId w:val="4"/>
        </w:numPr>
        <w:spacing w:line="276" w:lineRule="auto"/>
        <w:jc w:val="both"/>
        <w:rPr>
          <w:sz w:val="22"/>
          <w:szCs w:val="22"/>
        </w:rPr>
      </w:pPr>
      <w:r>
        <w:rPr>
          <w:sz w:val="22"/>
          <w:szCs w:val="22"/>
        </w:rPr>
        <w:t xml:space="preserve">Dictar las normas necesarias para garantizar el adecuado cumplimiento de las funciones y la eficiente prestación de los servicios a cargo del Distrito. (...) </w:t>
      </w:r>
    </w:p>
    <w:p w14:paraId="0EC48FCB" w14:textId="77777777" w:rsidR="00CA3231" w:rsidRDefault="001017FC">
      <w:pPr>
        <w:widowControl w:val="0"/>
        <w:numPr>
          <w:ilvl w:val="0"/>
          <w:numId w:val="1"/>
        </w:numPr>
        <w:spacing w:line="276" w:lineRule="auto"/>
        <w:jc w:val="both"/>
        <w:rPr>
          <w:sz w:val="22"/>
          <w:szCs w:val="22"/>
        </w:rPr>
      </w:pPr>
      <w:r>
        <w:rPr>
          <w:sz w:val="22"/>
          <w:szCs w:val="22"/>
        </w:rPr>
        <w:t xml:space="preserve">Decreto Ley 1421 de 1993, Artículo 13- Iniciativa: “Los proyectos de acuerdo pueden ser presentados por los concejales y el alcalde mayor por conducto de sus secretarios, jefes de departamento administrativo o representantes legales de las entidades descentralizadas. El personero el contador y las juntas administradoras los pueden presentar en materias relacionadas con sus atribuciones. De conformidad con la respectiva ley estatutaria, los ciudadanos y las organizaciones sociales podrán presentar proyectos de acuerdo sobre temas de interés comunitario. </w:t>
      </w:r>
    </w:p>
    <w:p w14:paraId="0EC48FCC" w14:textId="77777777" w:rsidR="00CA3231" w:rsidRDefault="00CA3231">
      <w:pPr>
        <w:widowControl w:val="0"/>
        <w:spacing w:line="276" w:lineRule="auto"/>
        <w:ind w:left="720"/>
        <w:jc w:val="both"/>
        <w:rPr>
          <w:sz w:val="22"/>
          <w:szCs w:val="22"/>
        </w:rPr>
      </w:pPr>
    </w:p>
    <w:p w14:paraId="0EC48FCD" w14:textId="77777777" w:rsidR="00CA3231" w:rsidRDefault="001017FC">
      <w:pPr>
        <w:widowControl w:val="0"/>
        <w:spacing w:line="276" w:lineRule="auto"/>
        <w:ind w:left="720"/>
        <w:jc w:val="both"/>
        <w:rPr>
          <w:b/>
          <w:sz w:val="22"/>
          <w:szCs w:val="22"/>
        </w:rPr>
      </w:pPr>
      <w:r>
        <w:rPr>
          <w:sz w:val="22"/>
          <w:szCs w:val="22"/>
        </w:rPr>
        <w:t>Solo podrán ser dictados o reformados a iniciativa del Alcalde los Acuerdos a que se refieren los ordinales 2°, 3°, 4°, 5°, 8°, 9°, 14, 16, 17, y 21 del artículo anterior. Igualmente, sólo podrán ser dictados o reformados a iniciativa del alcalde los acuerdos que decreten inversiones, ordenen servicios a cargo del Distrito, autoricen enajenar sus bienes y dispongan excepciones tributarias o cedan sus rentas. El Concejo podrá introducir modificaciones a los proyectos presentados por el alcalde”.</w:t>
      </w:r>
    </w:p>
    <w:p w14:paraId="0EC48FCE" w14:textId="77777777" w:rsidR="00CA3231" w:rsidRDefault="00CA3231">
      <w:pPr>
        <w:widowControl w:val="0"/>
        <w:pBdr>
          <w:top w:val="none" w:sz="0" w:space="7" w:color="000000"/>
          <w:left w:val="none" w:sz="0" w:space="7" w:color="000000"/>
          <w:bottom w:val="none" w:sz="0" w:space="7" w:color="000000"/>
          <w:right w:val="none" w:sz="0" w:space="7" w:color="000000"/>
          <w:between w:val="none" w:sz="0" w:space="7" w:color="000000"/>
        </w:pBdr>
        <w:shd w:val="clear" w:color="auto" w:fill="FFFFFF"/>
        <w:spacing w:line="276" w:lineRule="auto"/>
        <w:ind w:left="720"/>
        <w:jc w:val="both"/>
        <w:rPr>
          <w:b/>
          <w:sz w:val="22"/>
          <w:szCs w:val="22"/>
        </w:rPr>
      </w:pPr>
    </w:p>
    <w:p w14:paraId="0EC48FCF" w14:textId="77777777" w:rsidR="00CA3231" w:rsidRDefault="001017FC">
      <w:pPr>
        <w:widowControl w:val="0"/>
        <w:pBdr>
          <w:top w:val="none" w:sz="0" w:space="7" w:color="000000"/>
          <w:left w:val="none" w:sz="0" w:space="7" w:color="000000"/>
          <w:bottom w:val="none" w:sz="0" w:space="7" w:color="000000"/>
          <w:right w:val="none" w:sz="0" w:space="7" w:color="000000"/>
          <w:between w:val="none" w:sz="0" w:space="7" w:color="000000"/>
        </w:pBdr>
        <w:shd w:val="clear" w:color="auto" w:fill="FFFFFF"/>
        <w:spacing w:line="276" w:lineRule="auto"/>
        <w:jc w:val="both"/>
        <w:rPr>
          <w:b/>
          <w:sz w:val="22"/>
          <w:szCs w:val="22"/>
        </w:rPr>
      </w:pPr>
      <w:r>
        <w:rPr>
          <w:b/>
          <w:sz w:val="22"/>
          <w:szCs w:val="22"/>
        </w:rPr>
        <w:t>IV.</w:t>
      </w:r>
      <w:r>
        <w:rPr>
          <w:sz w:val="22"/>
          <w:szCs w:val="22"/>
        </w:rPr>
        <w:t xml:space="preserve"> </w:t>
      </w:r>
      <w:r>
        <w:rPr>
          <w:b/>
          <w:sz w:val="22"/>
          <w:szCs w:val="22"/>
        </w:rPr>
        <w:t>IMPACTO FISCAL</w:t>
      </w:r>
    </w:p>
    <w:p w14:paraId="0EC48FD0" w14:textId="77777777" w:rsidR="00CA3231" w:rsidRDefault="001017FC">
      <w:pPr>
        <w:shd w:val="clear" w:color="auto" w:fill="FFFFFF"/>
        <w:spacing w:after="240"/>
        <w:jc w:val="both"/>
        <w:rPr>
          <w:sz w:val="22"/>
          <w:szCs w:val="22"/>
        </w:rPr>
      </w:pPr>
      <w:r>
        <w:rPr>
          <w:sz w:val="22"/>
          <w:szCs w:val="22"/>
        </w:rPr>
        <w:t>De conformidad con lo anterior y en cumplimiento del artículo 7° de la Ley 819 de 2003, aclaramos que la presente iniciativa no genera un impacto fiscal que implique una modificación en el marco fiscal de mediano plazo, toda vez que no se incrementará el Presupuesto del Distrito, ni ocasionará la creación de una nueva fuente de financiación, en la medida en que el presupuesto fue proyectado dentro del marco del Plan de Desarrollo Distrital.</w:t>
      </w:r>
    </w:p>
    <w:p w14:paraId="0EC48FD1" w14:textId="77777777" w:rsidR="00CA3231" w:rsidRDefault="001017FC">
      <w:pPr>
        <w:shd w:val="clear" w:color="auto" w:fill="FFFFFF"/>
        <w:spacing w:after="240"/>
        <w:jc w:val="both"/>
        <w:rPr>
          <w:sz w:val="22"/>
          <w:szCs w:val="22"/>
        </w:rPr>
      </w:pPr>
      <w:r>
        <w:rPr>
          <w:sz w:val="22"/>
          <w:szCs w:val="22"/>
        </w:rPr>
        <w:t>Por tanto, ponemos a consideración del Honorable Concejo de Bogotá D.C., la presente iniciativa.</w:t>
      </w:r>
    </w:p>
    <w:p w14:paraId="0EC48FD2" w14:textId="77777777" w:rsidR="00CA3231" w:rsidRDefault="001017FC">
      <w:pPr>
        <w:widowControl w:val="0"/>
        <w:pBdr>
          <w:top w:val="none" w:sz="0" w:space="7" w:color="000000"/>
          <w:left w:val="none" w:sz="0" w:space="7" w:color="000000"/>
          <w:bottom w:val="none" w:sz="0" w:space="7" w:color="000000"/>
          <w:right w:val="none" w:sz="0" w:space="7" w:color="000000"/>
          <w:between w:val="none" w:sz="0" w:space="7" w:color="000000"/>
        </w:pBdr>
        <w:shd w:val="clear" w:color="auto" w:fill="FFFFFF"/>
        <w:spacing w:line="276" w:lineRule="auto"/>
        <w:jc w:val="both"/>
        <w:rPr>
          <w:sz w:val="22"/>
          <w:szCs w:val="22"/>
        </w:rPr>
      </w:pPr>
      <w:r>
        <w:rPr>
          <w:sz w:val="22"/>
          <w:szCs w:val="22"/>
        </w:rPr>
        <w:t>Atentamente,</w:t>
      </w:r>
    </w:p>
    <w:p w14:paraId="0EC48FD3" w14:textId="77777777" w:rsidR="00CA3231" w:rsidRDefault="00CA3231">
      <w:pPr>
        <w:widowControl w:val="0"/>
        <w:pBdr>
          <w:top w:val="none" w:sz="0" w:space="7" w:color="000000"/>
          <w:left w:val="none" w:sz="0" w:space="7" w:color="000000"/>
          <w:bottom w:val="none" w:sz="0" w:space="7" w:color="000000"/>
          <w:right w:val="none" w:sz="0" w:space="7" w:color="000000"/>
          <w:between w:val="none" w:sz="0" w:space="7" w:color="000000"/>
        </w:pBdr>
        <w:shd w:val="clear" w:color="auto" w:fill="FFFFFF"/>
        <w:spacing w:line="276" w:lineRule="auto"/>
        <w:jc w:val="both"/>
        <w:rPr>
          <w:sz w:val="22"/>
          <w:szCs w:val="22"/>
        </w:rPr>
      </w:pPr>
    </w:p>
    <w:p w14:paraId="0EC48FD4" w14:textId="77777777" w:rsidR="00CA3231" w:rsidRDefault="00CA3231">
      <w:pPr>
        <w:spacing w:line="276" w:lineRule="auto"/>
        <w:rPr>
          <w:b/>
          <w:sz w:val="22"/>
          <w:szCs w:val="22"/>
        </w:rPr>
      </w:pPr>
    </w:p>
    <w:p w14:paraId="0EC48FD5" w14:textId="77777777" w:rsidR="00CA3231" w:rsidRDefault="001017FC">
      <w:pPr>
        <w:spacing w:line="276" w:lineRule="auto"/>
        <w:rPr>
          <w:b/>
          <w:sz w:val="22"/>
          <w:szCs w:val="22"/>
        </w:rPr>
      </w:pPr>
      <w:r>
        <w:rPr>
          <w:b/>
          <w:sz w:val="22"/>
          <w:szCs w:val="22"/>
        </w:rPr>
        <w:t>JULIÁN FELIPE TRIANA VARGAS</w:t>
      </w:r>
      <w:r>
        <w:rPr>
          <w:b/>
          <w:sz w:val="22"/>
          <w:szCs w:val="22"/>
        </w:rPr>
        <w:tab/>
      </w:r>
      <w:r>
        <w:rPr>
          <w:b/>
          <w:sz w:val="22"/>
          <w:szCs w:val="22"/>
        </w:rPr>
        <w:tab/>
      </w:r>
    </w:p>
    <w:p w14:paraId="0EC48FD6" w14:textId="77777777" w:rsidR="00CA3231" w:rsidRDefault="001017FC">
      <w:pPr>
        <w:spacing w:line="276" w:lineRule="auto"/>
        <w:rPr>
          <w:sz w:val="22"/>
          <w:szCs w:val="22"/>
        </w:rPr>
      </w:pPr>
      <w:r>
        <w:rPr>
          <w:sz w:val="22"/>
          <w:szCs w:val="22"/>
        </w:rPr>
        <w:t>Concejal de Bogotá D.C.</w:t>
      </w:r>
      <w:r>
        <w:rPr>
          <w:sz w:val="22"/>
          <w:szCs w:val="22"/>
        </w:rPr>
        <w:tab/>
      </w:r>
      <w:r>
        <w:rPr>
          <w:sz w:val="22"/>
          <w:szCs w:val="22"/>
        </w:rPr>
        <w:tab/>
      </w:r>
      <w:r>
        <w:rPr>
          <w:sz w:val="22"/>
          <w:szCs w:val="22"/>
        </w:rPr>
        <w:tab/>
      </w:r>
    </w:p>
    <w:p w14:paraId="0EC48FD7" w14:textId="77777777" w:rsidR="00CA3231" w:rsidRDefault="001017FC">
      <w:pPr>
        <w:rPr>
          <w:sz w:val="22"/>
          <w:szCs w:val="22"/>
        </w:rPr>
      </w:pPr>
      <w:r>
        <w:rPr>
          <w:sz w:val="22"/>
          <w:szCs w:val="22"/>
        </w:rPr>
        <w:t>Partido Alianza Verde</w:t>
      </w:r>
      <w:r>
        <w:rPr>
          <w:sz w:val="22"/>
          <w:szCs w:val="22"/>
        </w:rPr>
        <w:tab/>
      </w:r>
    </w:p>
    <w:p w14:paraId="0EC48FD8" w14:textId="77777777" w:rsidR="00CA3231" w:rsidRDefault="00CA3231">
      <w:pPr>
        <w:rPr>
          <w:sz w:val="22"/>
          <w:szCs w:val="22"/>
        </w:rPr>
      </w:pPr>
    </w:p>
    <w:p w14:paraId="0EC48FD9" w14:textId="77777777" w:rsidR="00CA3231" w:rsidRDefault="00CA3231">
      <w:pPr>
        <w:rPr>
          <w:sz w:val="22"/>
          <w:szCs w:val="22"/>
        </w:rPr>
      </w:pPr>
    </w:p>
    <w:p w14:paraId="0EC48FDA" w14:textId="77777777" w:rsidR="00CA3231" w:rsidRDefault="001017FC">
      <w:pPr>
        <w:widowControl w:val="0"/>
        <w:pBdr>
          <w:top w:val="none" w:sz="0" w:space="7" w:color="000000"/>
          <w:left w:val="none" w:sz="0" w:space="7" w:color="000000"/>
          <w:bottom w:val="none" w:sz="0" w:space="7" w:color="000000"/>
          <w:right w:val="none" w:sz="0" w:space="7" w:color="000000"/>
          <w:between w:val="none" w:sz="0" w:space="7" w:color="000000"/>
        </w:pBdr>
        <w:shd w:val="clear" w:color="auto" w:fill="FFFFFF"/>
        <w:spacing w:line="276" w:lineRule="auto"/>
        <w:jc w:val="both"/>
        <w:rPr>
          <w:sz w:val="22"/>
          <w:szCs w:val="22"/>
        </w:rPr>
      </w:pPr>
      <w:r>
        <w:rPr>
          <w:b/>
          <w:sz w:val="22"/>
          <w:szCs w:val="22"/>
        </w:rPr>
        <w:t>VI. RELACIÓN CON LOS OBJETIVOS DE DESARROLLO SOSTENIBLE (ODS)</w:t>
      </w:r>
    </w:p>
    <w:p w14:paraId="0EC48FDB" w14:textId="77777777" w:rsidR="00CA3231" w:rsidRDefault="00CA3231">
      <w:pPr>
        <w:jc w:val="both"/>
        <w:rPr>
          <w:sz w:val="22"/>
          <w:szCs w:val="22"/>
        </w:rPr>
      </w:pPr>
    </w:p>
    <w:p w14:paraId="0EC48FDC" w14:textId="77777777" w:rsidR="00CA3231" w:rsidRDefault="001017FC">
      <w:pPr>
        <w:jc w:val="both"/>
        <w:rPr>
          <w:b/>
          <w:sz w:val="22"/>
          <w:szCs w:val="22"/>
        </w:rPr>
      </w:pPr>
      <w:r>
        <w:rPr>
          <w:b/>
          <w:sz w:val="22"/>
          <w:szCs w:val="22"/>
        </w:rPr>
        <w:t>ODS 3: Salud y bienestar</w:t>
      </w:r>
    </w:p>
    <w:p w14:paraId="0EC48FDD" w14:textId="77777777" w:rsidR="00CA3231" w:rsidRDefault="00CA3231">
      <w:pPr>
        <w:jc w:val="both"/>
        <w:rPr>
          <w:b/>
          <w:sz w:val="22"/>
          <w:szCs w:val="22"/>
        </w:rPr>
      </w:pPr>
    </w:p>
    <w:p w14:paraId="0EC48FDE" w14:textId="77777777" w:rsidR="00CA3231" w:rsidRDefault="001017FC">
      <w:pPr>
        <w:jc w:val="both"/>
        <w:rPr>
          <w:sz w:val="22"/>
          <w:szCs w:val="22"/>
        </w:rPr>
      </w:pPr>
      <w:r>
        <w:rPr>
          <w:sz w:val="22"/>
          <w:szCs w:val="22"/>
        </w:rPr>
        <w:t>El ODS 3 busca asegurar una vida saludable y promover el bienestar para todos en todas las edades. El Proyecto de Acuerdo contribuye a este objetivo al establecer lineamientos para la prevención, atención integral y mitigación de consecuencias en la salud mental del TEPT</w:t>
      </w:r>
      <w:r>
        <w:rPr>
          <w:sz w:val="22"/>
          <w:szCs w:val="22"/>
          <w:vertAlign w:val="superscript"/>
        </w:rPr>
        <w:footnoteReference w:id="24"/>
      </w:r>
      <w:r>
        <w:rPr>
          <w:sz w:val="22"/>
          <w:szCs w:val="22"/>
          <w:vertAlign w:val="superscript"/>
        </w:rPr>
        <w:t xml:space="preserve">. </w:t>
      </w:r>
      <w:r>
        <w:rPr>
          <w:sz w:val="22"/>
          <w:szCs w:val="22"/>
        </w:rPr>
        <w:t>Lo anterior se traduce en una mejora significativa en la calidad de vida y bienestar de las víctimas de emergencias y trabajadores de emergencia y las víctimas de situaciones traumáticas. Al ofrecer apoyo psicológico y emocional, el proyecto se alinea con el objetivo de reducir la mortalidad y morbilidad asociadas con problemas de salud mental.</w:t>
      </w:r>
    </w:p>
    <w:p w14:paraId="0EC48FDF" w14:textId="77777777" w:rsidR="00CA3231" w:rsidRDefault="00CA3231">
      <w:pPr>
        <w:jc w:val="both"/>
        <w:rPr>
          <w:sz w:val="22"/>
          <w:szCs w:val="22"/>
        </w:rPr>
      </w:pPr>
    </w:p>
    <w:p w14:paraId="0EC48FE0" w14:textId="77777777" w:rsidR="00CA3231" w:rsidRDefault="001017FC">
      <w:pPr>
        <w:jc w:val="both"/>
        <w:rPr>
          <w:b/>
          <w:sz w:val="22"/>
          <w:szCs w:val="22"/>
        </w:rPr>
      </w:pPr>
      <w:r>
        <w:rPr>
          <w:b/>
          <w:sz w:val="22"/>
          <w:szCs w:val="22"/>
        </w:rPr>
        <w:t>ODS 8: Trabajo decente y crecimiento económico</w:t>
      </w:r>
    </w:p>
    <w:p w14:paraId="0EC48FE1" w14:textId="77777777" w:rsidR="00CA3231" w:rsidRDefault="00CA3231">
      <w:pPr>
        <w:jc w:val="both"/>
        <w:rPr>
          <w:b/>
          <w:sz w:val="22"/>
          <w:szCs w:val="22"/>
        </w:rPr>
      </w:pPr>
    </w:p>
    <w:p w14:paraId="0EC48FE2" w14:textId="77777777" w:rsidR="00CA3231" w:rsidRDefault="001017FC">
      <w:pPr>
        <w:jc w:val="both"/>
        <w:rPr>
          <w:sz w:val="22"/>
          <w:szCs w:val="22"/>
        </w:rPr>
      </w:pPr>
      <w:r>
        <w:rPr>
          <w:sz w:val="22"/>
          <w:szCs w:val="22"/>
        </w:rPr>
        <w:t>El ODS 8 busca promover el crecimiento económico inclusivo y sostenible, el empleo pleno y productivo, y el trabajo decente para todos. El proyecto contribuye a este objetivo al garantizar que los trabajadores de emergencia, como bomberos y psicólogos, reciban el apoyo necesario para su bienestar mental y emocional</w:t>
      </w:r>
      <w:r>
        <w:rPr>
          <w:sz w:val="22"/>
          <w:szCs w:val="22"/>
          <w:vertAlign w:val="superscript"/>
        </w:rPr>
        <w:footnoteReference w:id="25"/>
      </w:r>
      <w:r>
        <w:rPr>
          <w:sz w:val="22"/>
          <w:szCs w:val="22"/>
        </w:rPr>
        <w:t>. Al reducir el impacto del TEPT en el desempeño laboral, el proyecto ayuda a mantener un ambiente de trabajo saludable y productivo. Esto no solo beneficia a los profesionales de emergencia, sino que también asegura una respuesta más efectiva a las situaciones de crisis, lo que contribuye al crecimiento económico al minimizar la disrupción en la prestación de servicios esenciales.</w:t>
      </w:r>
    </w:p>
    <w:p w14:paraId="0EC48FE3" w14:textId="77777777" w:rsidR="00CA3231" w:rsidRDefault="00CA3231">
      <w:pPr>
        <w:jc w:val="both"/>
        <w:rPr>
          <w:sz w:val="22"/>
          <w:szCs w:val="22"/>
        </w:rPr>
      </w:pPr>
    </w:p>
    <w:p w14:paraId="0EC48FE4" w14:textId="77777777" w:rsidR="00CA3231" w:rsidRDefault="001017FC">
      <w:pPr>
        <w:jc w:val="both"/>
        <w:rPr>
          <w:b/>
          <w:sz w:val="22"/>
          <w:szCs w:val="22"/>
        </w:rPr>
      </w:pPr>
      <w:r>
        <w:rPr>
          <w:b/>
          <w:sz w:val="22"/>
          <w:szCs w:val="22"/>
        </w:rPr>
        <w:t>ODS 10: Reducción de las desigualdades</w:t>
      </w:r>
    </w:p>
    <w:p w14:paraId="0EC48FE5" w14:textId="77777777" w:rsidR="00CA3231" w:rsidRDefault="00CA3231">
      <w:pPr>
        <w:jc w:val="both"/>
        <w:rPr>
          <w:b/>
          <w:sz w:val="22"/>
          <w:szCs w:val="22"/>
        </w:rPr>
      </w:pPr>
    </w:p>
    <w:p w14:paraId="0EC48FE6" w14:textId="77777777" w:rsidR="00CA3231" w:rsidRDefault="001017FC">
      <w:pPr>
        <w:jc w:val="both"/>
        <w:rPr>
          <w:sz w:val="22"/>
          <w:szCs w:val="22"/>
        </w:rPr>
      </w:pPr>
      <w:r>
        <w:rPr>
          <w:sz w:val="22"/>
          <w:szCs w:val="22"/>
        </w:rPr>
        <w:t>El ODS 10 se enfoca en reducir las desigualdades dentro de los países y entre ellos. El Proyecto de Acuerdo contribuye a la reducción de desigualdades al proporcionar atención y tratamiento especializado a grupos vulnerables, como las víctimas de emergencias y el personal de emergencia</w:t>
      </w:r>
      <w:r>
        <w:rPr>
          <w:sz w:val="22"/>
          <w:szCs w:val="22"/>
          <w:vertAlign w:val="superscript"/>
        </w:rPr>
        <w:footnoteReference w:id="26"/>
      </w:r>
      <w:r>
        <w:rPr>
          <w:sz w:val="22"/>
          <w:szCs w:val="22"/>
        </w:rPr>
        <w:t>. El enfoque integral propuesto asegura que todos los afectados, independientemente de su situación socioeconómica, reciban el apoyo necesario para prevenir, atender y mitigar los efectos del TEPT. Esto contribuye a nivelar el campo de juego para quienes enfrentan situaciones adversas y promueve la igualdad de acceso a servicios de salud mental de calidad.</w:t>
      </w:r>
    </w:p>
    <w:p w14:paraId="0EC48FE7" w14:textId="77777777" w:rsidR="00CA3231" w:rsidRDefault="00CA3231">
      <w:pPr>
        <w:jc w:val="both"/>
        <w:rPr>
          <w:sz w:val="22"/>
          <w:szCs w:val="22"/>
        </w:rPr>
      </w:pPr>
    </w:p>
    <w:p w14:paraId="0EC48FE8" w14:textId="77777777" w:rsidR="00CA3231" w:rsidRDefault="001017FC">
      <w:pPr>
        <w:jc w:val="both"/>
        <w:rPr>
          <w:b/>
          <w:sz w:val="22"/>
          <w:szCs w:val="22"/>
        </w:rPr>
      </w:pPr>
      <w:r>
        <w:rPr>
          <w:b/>
          <w:sz w:val="22"/>
          <w:szCs w:val="22"/>
        </w:rPr>
        <w:t>ODS 11: Ciudades y comunidades sostenibles</w:t>
      </w:r>
    </w:p>
    <w:p w14:paraId="0EC48FE9" w14:textId="77777777" w:rsidR="00CA3231" w:rsidRDefault="00CA3231">
      <w:pPr>
        <w:jc w:val="both"/>
        <w:rPr>
          <w:b/>
          <w:sz w:val="22"/>
          <w:szCs w:val="22"/>
        </w:rPr>
      </w:pPr>
    </w:p>
    <w:p w14:paraId="0EC48FEA" w14:textId="77777777" w:rsidR="00CA3231" w:rsidRDefault="001017FC">
      <w:pPr>
        <w:jc w:val="both"/>
        <w:rPr>
          <w:sz w:val="22"/>
          <w:szCs w:val="22"/>
        </w:rPr>
      </w:pPr>
      <w:r>
        <w:rPr>
          <w:sz w:val="22"/>
          <w:szCs w:val="22"/>
        </w:rPr>
        <w:t>El ODS 11 tiene como objetivo hacer que las ciudades y los asentamientos humanos sean inclusivos, seguros, resilientes y sostenibles. El Proyecto de Acuerdo contribuye a este objetivo al fortalecer la resiliencia de las comunidades urbanas frente a emergencias y situaciones traumáticas</w:t>
      </w:r>
      <w:r>
        <w:rPr>
          <w:sz w:val="22"/>
          <w:szCs w:val="22"/>
          <w:vertAlign w:val="superscript"/>
        </w:rPr>
        <w:footnoteReference w:id="27"/>
      </w:r>
      <w:r>
        <w:rPr>
          <w:sz w:val="22"/>
          <w:szCs w:val="22"/>
        </w:rPr>
        <w:t>. La prevención, atención y mitigación de los efectos del TEPT respecto a los trabajadores de emergencia, mejora la capacidad de respuesta de la ciudad ante crisis y emergencias, contribuyendo a la construcción de una ciudad más segura y resiliente. Al mejorar la salud mental de los residentes y los profesionales de emergencia, el proyecto ayuda a crear un entorno urbano más sostenible y preparado para enfrentar desafíos futuros.</w:t>
      </w:r>
    </w:p>
    <w:p w14:paraId="0EC48FF9" w14:textId="77777777" w:rsidR="00CA3231" w:rsidRDefault="00CA3231">
      <w:pPr>
        <w:jc w:val="both"/>
        <w:rPr>
          <w:b/>
          <w:sz w:val="22"/>
          <w:szCs w:val="22"/>
        </w:rPr>
      </w:pPr>
    </w:p>
    <w:p w14:paraId="0EC48FFA" w14:textId="77777777" w:rsidR="00CA3231" w:rsidRDefault="00CA3231">
      <w:pPr>
        <w:jc w:val="both"/>
        <w:rPr>
          <w:b/>
          <w:sz w:val="22"/>
          <w:szCs w:val="22"/>
        </w:rPr>
      </w:pPr>
    </w:p>
    <w:p w14:paraId="0EC48FFB" w14:textId="77777777" w:rsidR="00CA3231" w:rsidRDefault="00CA3231">
      <w:pPr>
        <w:jc w:val="both"/>
        <w:rPr>
          <w:b/>
          <w:sz w:val="22"/>
          <w:szCs w:val="22"/>
        </w:rPr>
      </w:pPr>
    </w:p>
    <w:p w14:paraId="0EC48FFC" w14:textId="77777777" w:rsidR="00CA3231" w:rsidRDefault="001017FC">
      <w:pPr>
        <w:jc w:val="both"/>
        <w:rPr>
          <w:b/>
          <w:sz w:val="22"/>
          <w:szCs w:val="22"/>
        </w:rPr>
      </w:pPr>
      <w:r>
        <w:rPr>
          <w:b/>
          <w:sz w:val="22"/>
          <w:szCs w:val="22"/>
        </w:rPr>
        <w:t>Vll. TÍTULO, ATRIBUCIONES Y CONSIDERANDOS</w:t>
      </w:r>
    </w:p>
    <w:p w14:paraId="0EC48FFD" w14:textId="77777777" w:rsidR="00CA3231" w:rsidRDefault="00CA3231">
      <w:pPr>
        <w:jc w:val="both"/>
        <w:rPr>
          <w:b/>
          <w:sz w:val="22"/>
          <w:szCs w:val="22"/>
        </w:rPr>
      </w:pPr>
    </w:p>
    <w:p w14:paraId="0EC48FFE" w14:textId="77777777" w:rsidR="00CA3231" w:rsidRDefault="00CA3231">
      <w:pPr>
        <w:widowControl w:val="0"/>
        <w:pBdr>
          <w:bottom w:val="none" w:sz="0" w:space="0" w:color="000000"/>
        </w:pBdr>
        <w:spacing w:before="240" w:after="240" w:line="276" w:lineRule="auto"/>
        <w:jc w:val="center"/>
        <w:rPr>
          <w:b/>
          <w:sz w:val="22"/>
          <w:szCs w:val="22"/>
        </w:rPr>
      </w:pPr>
      <w:bookmarkStart w:id="1" w:name="_heading=h.rxpzuywe0len" w:colFirst="0" w:colLast="0"/>
      <w:bookmarkEnd w:id="1"/>
    </w:p>
    <w:p w14:paraId="0EC48FFF" w14:textId="77777777" w:rsidR="00CA3231" w:rsidRDefault="001017FC">
      <w:pPr>
        <w:widowControl w:val="0"/>
        <w:pBdr>
          <w:bottom w:val="none" w:sz="0" w:space="0" w:color="000000"/>
        </w:pBdr>
        <w:spacing w:before="240" w:after="240" w:line="276" w:lineRule="auto"/>
        <w:jc w:val="center"/>
        <w:rPr>
          <w:b/>
          <w:sz w:val="22"/>
          <w:szCs w:val="22"/>
        </w:rPr>
      </w:pPr>
      <w:bookmarkStart w:id="2" w:name="_heading=h.30eu96tyaqm7" w:colFirst="0" w:colLast="0"/>
      <w:bookmarkEnd w:id="2"/>
      <w:r>
        <w:rPr>
          <w:b/>
          <w:sz w:val="22"/>
          <w:szCs w:val="22"/>
        </w:rPr>
        <w:t>PROYECTO DE ACUERDO N. ___  DE 2025</w:t>
      </w:r>
    </w:p>
    <w:p w14:paraId="0EC49000" w14:textId="77777777" w:rsidR="00CA3231" w:rsidRDefault="001017FC">
      <w:pPr>
        <w:spacing w:line="276" w:lineRule="auto"/>
        <w:jc w:val="center"/>
        <w:rPr>
          <w:b/>
          <w:sz w:val="22"/>
          <w:szCs w:val="22"/>
        </w:rPr>
      </w:pPr>
      <w:r>
        <w:rPr>
          <w:b/>
          <w:sz w:val="22"/>
          <w:szCs w:val="22"/>
        </w:rPr>
        <w:t>“Por medio del cual se establecen lineamientos para la prevención y mitigación del estrés postraumático en las fuerzas de emergencias, primeros atendientes y víctimas de emergencias y/o situaciones traumáticas, se crea el día distrital para la concientización sobre el trastorno de estrés postraumático en el Distrito Capital y se dictan otras disposiciones”</w:t>
      </w:r>
    </w:p>
    <w:p w14:paraId="0EC49001" w14:textId="77777777" w:rsidR="00CA3231" w:rsidRDefault="00CA3231">
      <w:pPr>
        <w:spacing w:line="276" w:lineRule="auto"/>
        <w:jc w:val="center"/>
        <w:rPr>
          <w:b/>
          <w:sz w:val="22"/>
          <w:szCs w:val="22"/>
        </w:rPr>
      </w:pPr>
    </w:p>
    <w:p w14:paraId="0EC49002" w14:textId="77777777" w:rsidR="00CA3231" w:rsidRDefault="001017FC">
      <w:pPr>
        <w:spacing w:after="150"/>
        <w:jc w:val="center"/>
        <w:rPr>
          <w:sz w:val="22"/>
          <w:szCs w:val="22"/>
        </w:rPr>
      </w:pPr>
      <w:r>
        <w:rPr>
          <w:b/>
          <w:sz w:val="22"/>
          <w:szCs w:val="22"/>
        </w:rPr>
        <w:t>EL CONCEJO DE BOGOTÁ, D.C.,</w:t>
      </w:r>
    </w:p>
    <w:p w14:paraId="0EC49003" w14:textId="77777777" w:rsidR="00CA3231" w:rsidRDefault="001017FC">
      <w:pPr>
        <w:spacing w:after="150"/>
        <w:jc w:val="center"/>
        <w:rPr>
          <w:sz w:val="22"/>
          <w:szCs w:val="22"/>
        </w:rPr>
      </w:pPr>
      <w:r>
        <w:rPr>
          <w:sz w:val="22"/>
          <w:szCs w:val="22"/>
        </w:rPr>
        <w:t>En uso de sus facultades constitucionales y legales, en especial las conferidas por los artículos 313 y 322 de la Constitución Política, artículos 12, numerales 1, 9 y 11 y por el Artículo 55 del Decreto Ley 1421 de 1993</w:t>
      </w:r>
    </w:p>
    <w:p w14:paraId="0EC49004" w14:textId="77777777" w:rsidR="00CA3231" w:rsidRDefault="00CA3231">
      <w:pPr>
        <w:spacing w:line="276" w:lineRule="auto"/>
        <w:jc w:val="center"/>
        <w:rPr>
          <w:b/>
          <w:sz w:val="22"/>
          <w:szCs w:val="22"/>
        </w:rPr>
      </w:pPr>
    </w:p>
    <w:p w14:paraId="0EC49005" w14:textId="77777777" w:rsidR="00CA3231" w:rsidRDefault="001017FC">
      <w:pPr>
        <w:spacing w:line="276" w:lineRule="auto"/>
        <w:jc w:val="center"/>
        <w:rPr>
          <w:b/>
          <w:sz w:val="22"/>
          <w:szCs w:val="22"/>
        </w:rPr>
      </w:pPr>
      <w:r>
        <w:rPr>
          <w:b/>
          <w:sz w:val="22"/>
          <w:szCs w:val="22"/>
        </w:rPr>
        <w:t>Considerando</w:t>
      </w:r>
    </w:p>
    <w:p w14:paraId="0EC49006" w14:textId="77777777" w:rsidR="00CA3231" w:rsidRDefault="00CA3231">
      <w:pPr>
        <w:spacing w:line="276" w:lineRule="auto"/>
        <w:jc w:val="both"/>
        <w:rPr>
          <w:sz w:val="22"/>
          <w:szCs w:val="22"/>
        </w:rPr>
      </w:pPr>
    </w:p>
    <w:p w14:paraId="0EC49007" w14:textId="77777777" w:rsidR="00CA3231" w:rsidRDefault="001017FC">
      <w:pPr>
        <w:spacing w:line="276" w:lineRule="auto"/>
        <w:jc w:val="both"/>
        <w:rPr>
          <w:sz w:val="22"/>
          <w:szCs w:val="22"/>
        </w:rPr>
      </w:pPr>
      <w:r>
        <w:rPr>
          <w:sz w:val="22"/>
          <w:szCs w:val="22"/>
        </w:rPr>
        <w:t>Que el artículo 11 de la Constitución Política establece que el derecho a la vida es inviolable.</w:t>
      </w:r>
    </w:p>
    <w:p w14:paraId="0EC49008" w14:textId="77777777" w:rsidR="00CA3231" w:rsidRDefault="00CA3231">
      <w:pPr>
        <w:spacing w:line="276" w:lineRule="auto"/>
        <w:jc w:val="both"/>
        <w:rPr>
          <w:sz w:val="22"/>
          <w:szCs w:val="22"/>
        </w:rPr>
      </w:pPr>
    </w:p>
    <w:p w14:paraId="0EC49009" w14:textId="77777777" w:rsidR="00CA3231" w:rsidRDefault="001017FC">
      <w:pPr>
        <w:spacing w:line="276" w:lineRule="auto"/>
        <w:jc w:val="both"/>
        <w:rPr>
          <w:sz w:val="22"/>
          <w:szCs w:val="22"/>
        </w:rPr>
      </w:pPr>
      <w:r>
        <w:rPr>
          <w:sz w:val="22"/>
          <w:szCs w:val="22"/>
        </w:rPr>
        <w:t>Que el artículo 12 de la Constitución Política establece que nadie será sometido a desaparición forzada, a torturas ni a tratos o penas crueles, inhumanos o degradantes.</w:t>
      </w:r>
    </w:p>
    <w:p w14:paraId="0EC4900A" w14:textId="77777777" w:rsidR="00CA3231" w:rsidRDefault="001017FC">
      <w:pPr>
        <w:spacing w:line="276" w:lineRule="auto"/>
        <w:jc w:val="both"/>
        <w:rPr>
          <w:sz w:val="22"/>
          <w:szCs w:val="22"/>
        </w:rPr>
      </w:pPr>
      <w:r>
        <w:rPr>
          <w:sz w:val="22"/>
          <w:szCs w:val="22"/>
        </w:rPr>
        <w:t xml:space="preserve"> </w:t>
      </w:r>
    </w:p>
    <w:p w14:paraId="0EC4900B" w14:textId="77777777" w:rsidR="00CA3231" w:rsidRDefault="001017FC">
      <w:pPr>
        <w:pBdr>
          <w:top w:val="none" w:sz="0" w:space="0" w:color="000000"/>
          <w:bottom w:val="none" w:sz="0" w:space="0" w:color="000000"/>
          <w:between w:val="none" w:sz="0" w:space="0" w:color="000000"/>
        </w:pBdr>
        <w:spacing w:line="276" w:lineRule="auto"/>
        <w:jc w:val="both"/>
        <w:rPr>
          <w:sz w:val="22"/>
          <w:szCs w:val="22"/>
        </w:rPr>
      </w:pPr>
      <w:r>
        <w:rPr>
          <w:sz w:val="22"/>
          <w:szCs w:val="22"/>
        </w:rPr>
        <w:t>Que el artículo 1 de la Ley 100 de 1993, establece que el Sistema de Seguridad Social Integral tiene por objeto garantizar los derechos irrenunciables de la persona y la comunidad para obtener la calidad de vida acorde con la dignidad humana, mediante la protección de las contingencias que la afecten.</w:t>
      </w:r>
    </w:p>
    <w:p w14:paraId="0EC4900C" w14:textId="77777777" w:rsidR="00CA3231" w:rsidRDefault="00CA3231">
      <w:pPr>
        <w:pBdr>
          <w:top w:val="none" w:sz="0" w:space="0" w:color="000000"/>
          <w:bottom w:val="none" w:sz="0" w:space="0" w:color="000000"/>
          <w:between w:val="none" w:sz="0" w:space="0" w:color="000000"/>
        </w:pBdr>
        <w:spacing w:line="276" w:lineRule="auto"/>
        <w:jc w:val="both"/>
        <w:rPr>
          <w:sz w:val="22"/>
          <w:szCs w:val="22"/>
        </w:rPr>
      </w:pPr>
    </w:p>
    <w:p w14:paraId="0EC4900D" w14:textId="77777777" w:rsidR="00CA3231" w:rsidRDefault="001017FC">
      <w:pPr>
        <w:pBdr>
          <w:top w:val="none" w:sz="0" w:space="0" w:color="000000"/>
          <w:bottom w:val="none" w:sz="0" w:space="0" w:color="000000"/>
          <w:between w:val="none" w:sz="0" w:space="0" w:color="000000"/>
        </w:pBdr>
        <w:spacing w:line="276" w:lineRule="auto"/>
        <w:jc w:val="both"/>
        <w:rPr>
          <w:sz w:val="22"/>
          <w:szCs w:val="22"/>
        </w:rPr>
      </w:pPr>
      <w:r>
        <w:rPr>
          <w:sz w:val="22"/>
          <w:szCs w:val="22"/>
        </w:rPr>
        <w:t>Que el artículo 52 de la Ley 1448 de 2011 establece que el Sistema General de Seguridad Social en Salud garantizará la cobertura de la asistencia en salud a las víctimas.</w:t>
      </w:r>
    </w:p>
    <w:p w14:paraId="0EC4900E" w14:textId="77777777" w:rsidR="00CA3231" w:rsidRDefault="00CA3231">
      <w:pPr>
        <w:pBdr>
          <w:top w:val="none" w:sz="0" w:space="0" w:color="000000"/>
          <w:bottom w:val="none" w:sz="0" w:space="0" w:color="000000"/>
          <w:between w:val="none" w:sz="0" w:space="0" w:color="000000"/>
        </w:pBdr>
        <w:spacing w:line="276" w:lineRule="auto"/>
        <w:jc w:val="both"/>
        <w:rPr>
          <w:sz w:val="22"/>
          <w:szCs w:val="22"/>
        </w:rPr>
      </w:pPr>
    </w:p>
    <w:p w14:paraId="0EC4900F" w14:textId="77777777" w:rsidR="00CA3231" w:rsidRDefault="001017FC">
      <w:pPr>
        <w:pBdr>
          <w:top w:val="none" w:sz="0" w:space="0" w:color="000000"/>
          <w:bottom w:val="none" w:sz="0" w:space="0" w:color="000000"/>
          <w:between w:val="none" w:sz="0" w:space="0" w:color="000000"/>
        </w:pBdr>
        <w:spacing w:line="276" w:lineRule="auto"/>
        <w:jc w:val="both"/>
        <w:rPr>
          <w:sz w:val="22"/>
          <w:szCs w:val="22"/>
        </w:rPr>
      </w:pPr>
      <w:r>
        <w:rPr>
          <w:sz w:val="22"/>
          <w:szCs w:val="22"/>
        </w:rPr>
        <w:t>Que el artículo 1 de la Ley 1751 de 2015 establece como objeto garantizar el derecho fundamental a la salud, así como regular y establecer sus mecanismos de protección.</w:t>
      </w:r>
    </w:p>
    <w:p w14:paraId="0EC49010" w14:textId="77777777" w:rsidR="00CA3231" w:rsidRDefault="00CA3231">
      <w:pPr>
        <w:pBdr>
          <w:top w:val="none" w:sz="0" w:space="0" w:color="000000"/>
          <w:bottom w:val="none" w:sz="0" w:space="0" w:color="000000"/>
          <w:between w:val="none" w:sz="0" w:space="0" w:color="000000"/>
        </w:pBdr>
        <w:spacing w:line="276" w:lineRule="auto"/>
        <w:jc w:val="both"/>
        <w:rPr>
          <w:sz w:val="22"/>
          <w:szCs w:val="22"/>
        </w:rPr>
      </w:pPr>
    </w:p>
    <w:p w14:paraId="0EC49011" w14:textId="77777777" w:rsidR="00CA3231" w:rsidRDefault="001017FC">
      <w:pPr>
        <w:pBdr>
          <w:top w:val="none" w:sz="0" w:space="0" w:color="000000"/>
          <w:bottom w:val="none" w:sz="0" w:space="0" w:color="000000"/>
          <w:between w:val="none" w:sz="0" w:space="0" w:color="000000"/>
        </w:pBdr>
        <w:spacing w:line="276" w:lineRule="auto"/>
        <w:jc w:val="both"/>
        <w:rPr>
          <w:sz w:val="22"/>
          <w:szCs w:val="22"/>
        </w:rPr>
      </w:pPr>
      <w:r>
        <w:rPr>
          <w:sz w:val="22"/>
          <w:szCs w:val="22"/>
        </w:rPr>
        <w:t>Que el artículo 1 del Acuerdo Distrital 437 de 2010 establece como objeto adoptar un protocolo para el abordaje integral de la violencia sexual desde el sector salud, definido por la Secretaría Distrital de Salud.</w:t>
      </w:r>
    </w:p>
    <w:p w14:paraId="0EC49012" w14:textId="77777777" w:rsidR="00CA3231" w:rsidRDefault="00CA3231">
      <w:pPr>
        <w:pBdr>
          <w:top w:val="none" w:sz="0" w:space="0" w:color="000000"/>
          <w:bottom w:val="none" w:sz="0" w:space="0" w:color="000000"/>
          <w:between w:val="none" w:sz="0" w:space="0" w:color="000000"/>
        </w:pBdr>
        <w:spacing w:line="276" w:lineRule="auto"/>
        <w:jc w:val="both"/>
        <w:rPr>
          <w:sz w:val="22"/>
          <w:szCs w:val="22"/>
        </w:rPr>
      </w:pPr>
    </w:p>
    <w:p w14:paraId="0EC49013" w14:textId="77777777" w:rsidR="00CA3231" w:rsidRDefault="001017FC">
      <w:pPr>
        <w:pBdr>
          <w:top w:val="none" w:sz="0" w:space="0" w:color="000000"/>
          <w:bottom w:val="none" w:sz="0" w:space="0" w:color="000000"/>
          <w:between w:val="none" w:sz="0" w:space="0" w:color="000000"/>
        </w:pBdr>
        <w:spacing w:line="276" w:lineRule="auto"/>
        <w:jc w:val="both"/>
        <w:rPr>
          <w:sz w:val="22"/>
          <w:szCs w:val="22"/>
        </w:rPr>
      </w:pPr>
      <w:r>
        <w:rPr>
          <w:sz w:val="22"/>
          <w:szCs w:val="22"/>
        </w:rPr>
        <w:t>Que el artículo 1 del Acuerdo Distrital 795 de 2021, establece como objeto fortalecer la gestión del Distrito Capital en la implementación, seguimiento y monitoreo de los procesos de intervención en salud mental, ejecutados en el marco del Plan de Salud Pública de Intervenciones Colectivas.</w:t>
      </w:r>
    </w:p>
    <w:p w14:paraId="0EC49014" w14:textId="77777777" w:rsidR="00CA3231" w:rsidRDefault="00CA3231">
      <w:pPr>
        <w:pBdr>
          <w:top w:val="none" w:sz="0" w:space="0" w:color="000000"/>
          <w:bottom w:val="none" w:sz="0" w:space="0" w:color="000000"/>
          <w:between w:val="none" w:sz="0" w:space="0" w:color="000000"/>
        </w:pBdr>
        <w:spacing w:line="276" w:lineRule="auto"/>
        <w:jc w:val="both"/>
        <w:rPr>
          <w:sz w:val="22"/>
          <w:szCs w:val="22"/>
        </w:rPr>
      </w:pPr>
    </w:p>
    <w:p w14:paraId="0EC49015" w14:textId="77777777" w:rsidR="00CA3231" w:rsidRDefault="001017FC">
      <w:pPr>
        <w:pBdr>
          <w:top w:val="none" w:sz="0" w:space="0" w:color="000000"/>
          <w:bottom w:val="none" w:sz="0" w:space="0" w:color="000000"/>
          <w:between w:val="none" w:sz="0" w:space="0" w:color="000000"/>
        </w:pBdr>
        <w:spacing w:line="276" w:lineRule="auto"/>
        <w:jc w:val="both"/>
        <w:rPr>
          <w:sz w:val="22"/>
          <w:szCs w:val="22"/>
        </w:rPr>
      </w:pPr>
      <w:r>
        <w:rPr>
          <w:sz w:val="22"/>
          <w:szCs w:val="22"/>
        </w:rPr>
        <w:t>Que el artículo 1 del Acuerdo Distrital 854 de 2022, determina como objeto establecer orientaciones para actualizar y reforzar las medidas existentes y en curso de la Política Distrital de Salud Mental, orientadas a proteger y cuidar la salud mental, así como a reducir el impacto producto de los trastornos mentales que afectan a los habitantes de Bogotá.</w:t>
      </w:r>
    </w:p>
    <w:p w14:paraId="0EC49016" w14:textId="77777777" w:rsidR="00CA3231" w:rsidRDefault="00CA3231">
      <w:pPr>
        <w:pBdr>
          <w:top w:val="none" w:sz="0" w:space="0" w:color="000000"/>
          <w:bottom w:val="none" w:sz="0" w:space="0" w:color="000000"/>
          <w:between w:val="none" w:sz="0" w:space="0" w:color="000000"/>
        </w:pBdr>
        <w:spacing w:line="276" w:lineRule="auto"/>
        <w:jc w:val="both"/>
        <w:rPr>
          <w:sz w:val="22"/>
          <w:szCs w:val="22"/>
        </w:rPr>
      </w:pPr>
    </w:p>
    <w:p w14:paraId="0EC49017" w14:textId="77777777" w:rsidR="00CA3231" w:rsidRDefault="00CA3231">
      <w:pPr>
        <w:rPr>
          <w:b/>
          <w:sz w:val="20"/>
        </w:rPr>
      </w:pPr>
    </w:p>
    <w:p w14:paraId="0EC49018" w14:textId="77777777" w:rsidR="00CA3231" w:rsidRDefault="001017FC">
      <w:pPr>
        <w:rPr>
          <w:b/>
          <w:sz w:val="20"/>
        </w:rPr>
      </w:pPr>
      <w:r>
        <w:rPr>
          <w:b/>
          <w:sz w:val="22"/>
          <w:szCs w:val="22"/>
        </w:rPr>
        <w:t>VIll. ARTICULADO</w:t>
      </w:r>
      <w:r>
        <w:rPr>
          <w:b/>
          <w:sz w:val="20"/>
        </w:rPr>
        <w:t xml:space="preserve"> </w:t>
      </w:r>
    </w:p>
    <w:p w14:paraId="0EC49019" w14:textId="77777777" w:rsidR="00CA3231" w:rsidRDefault="00CA3231">
      <w:pPr>
        <w:rPr>
          <w:b/>
          <w:sz w:val="20"/>
        </w:rPr>
      </w:pPr>
    </w:p>
    <w:p w14:paraId="0EC4901A" w14:textId="77777777" w:rsidR="00CA3231" w:rsidRDefault="00CA3231">
      <w:pPr>
        <w:rPr>
          <w:b/>
          <w:sz w:val="20"/>
        </w:rPr>
      </w:pPr>
    </w:p>
    <w:p w14:paraId="0EC4901B" w14:textId="77777777" w:rsidR="00CA3231" w:rsidRDefault="001017FC">
      <w:pPr>
        <w:spacing w:after="150"/>
        <w:jc w:val="center"/>
        <w:rPr>
          <w:sz w:val="22"/>
          <w:szCs w:val="22"/>
        </w:rPr>
      </w:pPr>
      <w:r>
        <w:rPr>
          <w:b/>
          <w:sz w:val="22"/>
          <w:szCs w:val="22"/>
        </w:rPr>
        <w:t>ACUERDA:</w:t>
      </w:r>
    </w:p>
    <w:p w14:paraId="0EC4901C" w14:textId="77777777" w:rsidR="00CA3231" w:rsidRDefault="001017FC">
      <w:pPr>
        <w:widowControl w:val="0"/>
        <w:pBdr>
          <w:top w:val="none" w:sz="0" w:space="7" w:color="E5E7EB"/>
          <w:left w:val="none" w:sz="0" w:space="7" w:color="E5E7EB"/>
          <w:bottom w:val="none" w:sz="0" w:space="7" w:color="E5E7EB"/>
          <w:right w:val="none" w:sz="0" w:space="1" w:color="E5E7EB"/>
          <w:between w:val="none" w:sz="0" w:space="7" w:color="E5E7EB"/>
        </w:pBdr>
        <w:shd w:val="clear" w:color="auto" w:fill="FFFFFF"/>
        <w:spacing w:line="276" w:lineRule="auto"/>
        <w:jc w:val="both"/>
        <w:rPr>
          <w:sz w:val="22"/>
          <w:szCs w:val="22"/>
        </w:rPr>
      </w:pPr>
      <w:r>
        <w:rPr>
          <w:b/>
          <w:sz w:val="22"/>
          <w:szCs w:val="22"/>
        </w:rPr>
        <w:t>Artículo 1.</w:t>
      </w:r>
      <w:r>
        <w:rPr>
          <w:sz w:val="22"/>
          <w:szCs w:val="22"/>
        </w:rPr>
        <w:t xml:space="preserve"> </w:t>
      </w:r>
      <w:r>
        <w:rPr>
          <w:b/>
          <w:sz w:val="22"/>
          <w:szCs w:val="22"/>
        </w:rPr>
        <w:t>Objeto.</w:t>
      </w:r>
      <w:r>
        <w:rPr>
          <w:sz w:val="22"/>
          <w:szCs w:val="22"/>
        </w:rPr>
        <w:t xml:space="preserve"> Formular lineamientos que permitan promover la prevención y mitigación del trastorno de estrés postraumático en el Distrito Capital, con enfoque de género, diferencial e interseccional y con especial énfasis en las fuerzas de emergencias, primeros atendientes y víctimas de emergencias y/o situaciones traumáticas.</w:t>
      </w:r>
    </w:p>
    <w:p w14:paraId="0EC4901D" w14:textId="77777777" w:rsidR="00CA3231" w:rsidRDefault="001017FC">
      <w:pPr>
        <w:widowControl w:val="0"/>
        <w:pBdr>
          <w:top w:val="none" w:sz="0" w:space="7" w:color="E5E7EB"/>
          <w:left w:val="none" w:sz="0" w:space="7" w:color="E5E7EB"/>
          <w:bottom w:val="none" w:sz="0" w:space="7" w:color="E5E7EB"/>
          <w:right w:val="none" w:sz="0" w:space="1" w:color="E5E7EB"/>
          <w:between w:val="none" w:sz="0" w:space="7" w:color="E5E7EB"/>
        </w:pBdr>
        <w:shd w:val="clear" w:color="auto" w:fill="FFFFFF"/>
        <w:spacing w:line="276" w:lineRule="auto"/>
        <w:jc w:val="both"/>
        <w:rPr>
          <w:sz w:val="22"/>
          <w:szCs w:val="22"/>
        </w:rPr>
      </w:pPr>
      <w:r>
        <w:rPr>
          <w:b/>
          <w:sz w:val="22"/>
          <w:szCs w:val="22"/>
        </w:rPr>
        <w:t xml:space="preserve">Artículo 2. Definiciones. </w:t>
      </w:r>
      <w:r>
        <w:rPr>
          <w:sz w:val="22"/>
          <w:szCs w:val="22"/>
        </w:rPr>
        <w:t>Para los efectos del presente Acuerdo, se entenderá por:</w:t>
      </w:r>
    </w:p>
    <w:p w14:paraId="0EC4901E" w14:textId="77777777" w:rsidR="00CA3231" w:rsidRDefault="001017FC">
      <w:pPr>
        <w:widowControl w:val="0"/>
        <w:numPr>
          <w:ilvl w:val="0"/>
          <w:numId w:val="5"/>
        </w:numPr>
        <w:pBdr>
          <w:top w:val="none" w:sz="0" w:space="7" w:color="E5E7EB"/>
          <w:left w:val="none" w:sz="0" w:space="7" w:color="E5E7EB"/>
          <w:bottom w:val="none" w:sz="0" w:space="7" w:color="E5E7EB"/>
          <w:right w:val="none" w:sz="0" w:space="1" w:color="E5E7EB"/>
          <w:between w:val="none" w:sz="0" w:space="7" w:color="E5E7EB"/>
        </w:pBdr>
        <w:shd w:val="clear" w:color="auto" w:fill="FFFFFF"/>
        <w:spacing w:line="276" w:lineRule="auto"/>
        <w:jc w:val="both"/>
        <w:rPr>
          <w:rFonts w:ascii="Times New Roman" w:hAnsi="Times New Roman"/>
          <w:sz w:val="22"/>
          <w:szCs w:val="22"/>
        </w:rPr>
      </w:pPr>
      <w:r>
        <w:rPr>
          <w:b/>
          <w:sz w:val="22"/>
          <w:szCs w:val="22"/>
        </w:rPr>
        <w:t>Estrés Postraumático:</w:t>
      </w:r>
      <w:r>
        <w:rPr>
          <w:sz w:val="22"/>
          <w:szCs w:val="22"/>
        </w:rPr>
        <w:t xml:space="preserve"> trastorno mental que se desarrolla después de la exposición a una o más experiencias traumáticas relacionadas (como lo son desastres naturales, accidentes de cualquier tipo, situaciones de violencia, entre otros). Surge como consecuencia de una reacción de adaptación del organismo ante un una situación que sobrepasa el repertorio de experiencias habituales y que constituye una seria amenaza para la vida o la integridad física personal o de un tercero, lo cual repercute significativamente en el deterioro del funcionamiento social, ocupacional y personal del individuo.</w:t>
      </w:r>
    </w:p>
    <w:p w14:paraId="0EC4901F" w14:textId="77777777" w:rsidR="00CA3231" w:rsidRDefault="001017FC">
      <w:pPr>
        <w:widowControl w:val="0"/>
        <w:numPr>
          <w:ilvl w:val="0"/>
          <w:numId w:val="5"/>
        </w:numPr>
        <w:pBdr>
          <w:top w:val="none" w:sz="0" w:space="7" w:color="E5E7EB"/>
          <w:left w:val="none" w:sz="0" w:space="7" w:color="E5E7EB"/>
          <w:bottom w:val="none" w:sz="0" w:space="7" w:color="E5E7EB"/>
          <w:right w:val="none" w:sz="0" w:space="1" w:color="E5E7EB"/>
          <w:between w:val="none" w:sz="0" w:space="7" w:color="E5E7EB"/>
        </w:pBdr>
        <w:shd w:val="clear" w:color="auto" w:fill="FFFFFF"/>
        <w:spacing w:line="276" w:lineRule="auto"/>
        <w:jc w:val="both"/>
        <w:rPr>
          <w:rFonts w:ascii="Times New Roman" w:hAnsi="Times New Roman"/>
          <w:sz w:val="22"/>
          <w:szCs w:val="22"/>
        </w:rPr>
      </w:pPr>
      <w:r>
        <w:rPr>
          <w:b/>
          <w:sz w:val="22"/>
          <w:szCs w:val="22"/>
        </w:rPr>
        <w:t>Víctimas de emergencias y/o situaciones traumáticas:</w:t>
      </w:r>
      <w:r>
        <w:rPr>
          <w:sz w:val="22"/>
          <w:szCs w:val="22"/>
        </w:rPr>
        <w:t xml:space="preserve"> personas que han sufrido daños físicos, emocionales o materiales como resultado de una emergencia, desastre, incidente grave y/o experiencia traumática.</w:t>
      </w:r>
    </w:p>
    <w:p w14:paraId="0EC49020" w14:textId="77777777" w:rsidR="00CA3231" w:rsidRDefault="001017FC">
      <w:pPr>
        <w:widowControl w:val="0"/>
        <w:numPr>
          <w:ilvl w:val="0"/>
          <w:numId w:val="5"/>
        </w:numPr>
        <w:pBdr>
          <w:top w:val="none" w:sz="0" w:space="7" w:color="E5E7EB"/>
          <w:left w:val="none" w:sz="0" w:space="7" w:color="E5E7EB"/>
          <w:bottom w:val="none" w:sz="0" w:space="7" w:color="E5E7EB"/>
          <w:right w:val="none" w:sz="0" w:space="1" w:color="E5E7EB"/>
          <w:between w:val="none" w:sz="0" w:space="7" w:color="E5E7EB"/>
        </w:pBdr>
        <w:shd w:val="clear" w:color="auto" w:fill="FFFFFF"/>
        <w:spacing w:line="276" w:lineRule="auto"/>
        <w:jc w:val="both"/>
        <w:rPr>
          <w:sz w:val="22"/>
          <w:szCs w:val="22"/>
        </w:rPr>
      </w:pPr>
      <w:r>
        <w:rPr>
          <w:b/>
          <w:sz w:val="22"/>
          <w:szCs w:val="22"/>
        </w:rPr>
        <w:t>Fuerzas de Emergencias:</w:t>
      </w:r>
      <w:r>
        <w:rPr>
          <w:sz w:val="22"/>
          <w:szCs w:val="22"/>
        </w:rPr>
        <w:t xml:space="preserve"> conjunto de organismos, incluyendo bomberos, defensa civil, personal médico de emergencia, psicólogos, policía y otros cuerpos, que participan en la atención y respuesta ante emergencias en el Distrito Capital.</w:t>
      </w:r>
    </w:p>
    <w:p w14:paraId="0EC49021" w14:textId="77777777" w:rsidR="00CA3231" w:rsidRDefault="001017FC">
      <w:pPr>
        <w:widowControl w:val="0"/>
        <w:numPr>
          <w:ilvl w:val="0"/>
          <w:numId w:val="5"/>
        </w:numPr>
        <w:pBdr>
          <w:top w:val="none" w:sz="0" w:space="7" w:color="E5E7EB"/>
          <w:left w:val="none" w:sz="0" w:space="7" w:color="E5E7EB"/>
          <w:bottom w:val="none" w:sz="0" w:space="7" w:color="E5E7EB"/>
          <w:right w:val="none" w:sz="0" w:space="1" w:color="E5E7EB"/>
          <w:between w:val="none" w:sz="0" w:space="7" w:color="E5E7EB"/>
        </w:pBdr>
        <w:shd w:val="clear" w:color="auto" w:fill="FFFFFF"/>
        <w:spacing w:line="276" w:lineRule="auto"/>
        <w:jc w:val="both"/>
        <w:rPr>
          <w:sz w:val="22"/>
          <w:szCs w:val="22"/>
        </w:rPr>
      </w:pPr>
      <w:r>
        <w:rPr>
          <w:b/>
          <w:sz w:val="22"/>
          <w:szCs w:val="22"/>
        </w:rPr>
        <w:t>Primer respondiente:</w:t>
      </w:r>
      <w:r>
        <w:rPr>
          <w:sz w:val="22"/>
          <w:szCs w:val="22"/>
        </w:rPr>
        <w:t xml:space="preserve"> todo aquel trabajador que, por la naturaleza de su trabajo y en el marco de sus funciones, sea comúnmente receptor de situaciones de crisis en el Distrito Capital, como lo son profesores, gestores de convivencia, trabajadores de las comisarías de familia, casas de justicia, manzanas del cuidado, entre otros.</w:t>
      </w:r>
    </w:p>
    <w:p w14:paraId="0EC49022" w14:textId="77777777" w:rsidR="00CA3231" w:rsidRDefault="001017FC">
      <w:pPr>
        <w:widowControl w:val="0"/>
        <w:pBdr>
          <w:top w:val="none" w:sz="0" w:space="7" w:color="E5E7EB"/>
          <w:left w:val="none" w:sz="0" w:space="7" w:color="E5E7EB"/>
          <w:bottom w:val="none" w:sz="0" w:space="7" w:color="E5E7EB"/>
          <w:right w:val="none" w:sz="0" w:space="1" w:color="E5E7EB"/>
          <w:between w:val="none" w:sz="0" w:space="7" w:color="E5E7EB"/>
        </w:pBdr>
        <w:shd w:val="clear" w:color="auto" w:fill="FFFFFF"/>
        <w:spacing w:line="276" w:lineRule="auto"/>
        <w:jc w:val="both"/>
        <w:rPr>
          <w:sz w:val="22"/>
          <w:szCs w:val="22"/>
        </w:rPr>
      </w:pPr>
      <w:r>
        <w:rPr>
          <w:b/>
          <w:sz w:val="22"/>
          <w:szCs w:val="22"/>
        </w:rPr>
        <w:t xml:space="preserve">Artículo 3. Lineamientos. </w:t>
      </w:r>
      <w:r>
        <w:rPr>
          <w:sz w:val="22"/>
          <w:szCs w:val="22"/>
        </w:rPr>
        <w:t>La Administración Distrital tendrá en cuenta los siguientes lineamientos para la prevención y mitigación del trastorno de estrés postraumático y sus consecuencias:</w:t>
      </w:r>
    </w:p>
    <w:p w14:paraId="0EC49023" w14:textId="77777777" w:rsidR="00CA3231" w:rsidRDefault="001017FC">
      <w:pPr>
        <w:widowControl w:val="0"/>
        <w:numPr>
          <w:ilvl w:val="0"/>
          <w:numId w:val="2"/>
        </w:numPr>
        <w:pBdr>
          <w:top w:val="none" w:sz="0" w:space="7" w:color="E5E7EB"/>
          <w:left w:val="none" w:sz="0" w:space="7" w:color="E5E7EB"/>
          <w:bottom w:val="none" w:sz="0" w:space="7" w:color="E5E7EB"/>
          <w:right w:val="none" w:sz="0" w:space="1" w:color="E5E7EB"/>
          <w:between w:val="none" w:sz="0" w:space="7" w:color="E5E7EB"/>
        </w:pBdr>
        <w:shd w:val="clear" w:color="auto" w:fill="FFFFFF"/>
        <w:spacing w:line="276" w:lineRule="auto"/>
        <w:jc w:val="both"/>
        <w:rPr>
          <w:sz w:val="22"/>
          <w:szCs w:val="22"/>
        </w:rPr>
      </w:pPr>
      <w:r>
        <w:rPr>
          <w:sz w:val="22"/>
          <w:szCs w:val="22"/>
        </w:rPr>
        <w:t>Inclusión del enfoque de estrés postraumático en el diagnóstico del estado de salud de las fuerzas de emergencias y primeros respondientes, de conformidad con la batería de riesgos psicosociales de cada entidad competente.</w:t>
      </w:r>
    </w:p>
    <w:p w14:paraId="0EC49024" w14:textId="77777777" w:rsidR="00CA3231" w:rsidRDefault="001017FC">
      <w:pPr>
        <w:widowControl w:val="0"/>
        <w:numPr>
          <w:ilvl w:val="0"/>
          <w:numId w:val="2"/>
        </w:numPr>
        <w:pBdr>
          <w:top w:val="none" w:sz="0" w:space="7" w:color="E5E7EB"/>
          <w:left w:val="none" w:sz="0" w:space="7" w:color="E5E7EB"/>
          <w:bottom w:val="none" w:sz="0" w:space="7" w:color="E5E7EB"/>
          <w:right w:val="none" w:sz="0" w:space="1" w:color="E5E7EB"/>
          <w:between w:val="none" w:sz="0" w:space="7" w:color="E5E7EB"/>
        </w:pBdr>
        <w:shd w:val="clear" w:color="auto" w:fill="FFFFFF"/>
        <w:spacing w:line="276" w:lineRule="auto"/>
        <w:jc w:val="both"/>
        <w:rPr>
          <w:sz w:val="22"/>
          <w:szCs w:val="22"/>
        </w:rPr>
      </w:pPr>
      <w:r>
        <w:rPr>
          <w:sz w:val="22"/>
          <w:szCs w:val="22"/>
        </w:rPr>
        <w:t>Elaboración de estrategias de prevención del desarrollo del trastorno de estrés postraumático, con énfasis en las fuerzas de emergencias y primeros respondientes.</w:t>
      </w:r>
    </w:p>
    <w:p w14:paraId="0EC49025" w14:textId="77777777" w:rsidR="00CA3231" w:rsidRDefault="001017FC">
      <w:pPr>
        <w:widowControl w:val="0"/>
        <w:numPr>
          <w:ilvl w:val="0"/>
          <w:numId w:val="2"/>
        </w:numPr>
        <w:pBdr>
          <w:top w:val="none" w:sz="0" w:space="7" w:color="E5E7EB"/>
          <w:left w:val="none" w:sz="0" w:space="7" w:color="E5E7EB"/>
          <w:bottom w:val="none" w:sz="0" w:space="7" w:color="E5E7EB"/>
          <w:right w:val="none" w:sz="0" w:space="1" w:color="E5E7EB"/>
          <w:between w:val="none" w:sz="0" w:space="7" w:color="E5E7EB"/>
        </w:pBdr>
        <w:shd w:val="clear" w:color="auto" w:fill="FFFFFF"/>
        <w:spacing w:line="276" w:lineRule="auto"/>
        <w:jc w:val="both"/>
        <w:rPr>
          <w:sz w:val="22"/>
          <w:szCs w:val="22"/>
        </w:rPr>
      </w:pPr>
      <w:r>
        <w:rPr>
          <w:sz w:val="22"/>
          <w:szCs w:val="22"/>
        </w:rPr>
        <w:t>Evaluaciones psicológicas y psiquiátricas iniciales y periódicas a las fuerzas de emergencias.</w:t>
      </w:r>
    </w:p>
    <w:p w14:paraId="0EC49026" w14:textId="77777777" w:rsidR="00CA3231" w:rsidRDefault="001017FC">
      <w:pPr>
        <w:widowControl w:val="0"/>
        <w:numPr>
          <w:ilvl w:val="0"/>
          <w:numId w:val="2"/>
        </w:numPr>
        <w:pBdr>
          <w:top w:val="none" w:sz="0" w:space="7" w:color="E5E7EB"/>
          <w:left w:val="none" w:sz="0" w:space="7" w:color="E5E7EB"/>
          <w:bottom w:val="none" w:sz="0" w:space="7" w:color="E5E7EB"/>
          <w:right w:val="none" w:sz="0" w:space="1" w:color="E5E7EB"/>
          <w:between w:val="none" w:sz="0" w:space="7" w:color="E5E7EB"/>
        </w:pBdr>
        <w:shd w:val="clear" w:color="auto" w:fill="FFFFFF"/>
        <w:spacing w:line="276" w:lineRule="auto"/>
        <w:jc w:val="both"/>
        <w:rPr>
          <w:sz w:val="22"/>
          <w:szCs w:val="22"/>
        </w:rPr>
      </w:pPr>
      <w:r>
        <w:rPr>
          <w:sz w:val="22"/>
          <w:szCs w:val="22"/>
        </w:rPr>
        <w:t>Elaboración de una ruta de atención posterior al desarrollo de una situación traumática para fuerzas de emergencia, primeros respondientes y víctimas de emergencias y/o situaciones traumáticas.</w:t>
      </w:r>
    </w:p>
    <w:p w14:paraId="0EC49027" w14:textId="77777777" w:rsidR="00CA3231" w:rsidRDefault="001017FC">
      <w:pPr>
        <w:widowControl w:val="0"/>
        <w:numPr>
          <w:ilvl w:val="0"/>
          <w:numId w:val="2"/>
        </w:numPr>
        <w:pBdr>
          <w:top w:val="none" w:sz="0" w:space="7" w:color="E5E7EB"/>
          <w:left w:val="none" w:sz="0" w:space="7" w:color="E5E7EB"/>
          <w:bottom w:val="none" w:sz="0" w:space="7" w:color="E5E7EB"/>
          <w:right w:val="none" w:sz="0" w:space="1" w:color="E5E7EB"/>
          <w:between w:val="none" w:sz="0" w:space="7" w:color="E5E7EB"/>
        </w:pBdr>
        <w:shd w:val="clear" w:color="auto" w:fill="FFFFFF"/>
        <w:spacing w:line="276" w:lineRule="auto"/>
        <w:jc w:val="both"/>
        <w:rPr>
          <w:sz w:val="22"/>
          <w:szCs w:val="22"/>
        </w:rPr>
      </w:pPr>
      <w:r>
        <w:rPr>
          <w:sz w:val="22"/>
          <w:szCs w:val="22"/>
        </w:rPr>
        <w:t>Generación de capacitaciones y talleres de manejo de estrés, trámite emociones y bienestar mental para las fuerzas de emergencias, primeros respondientes y víctimas de emergencias y/o situaciones traumáticas.</w:t>
      </w:r>
    </w:p>
    <w:p w14:paraId="0EC49028" w14:textId="77777777" w:rsidR="00CA3231" w:rsidRDefault="001017FC">
      <w:pPr>
        <w:widowControl w:val="0"/>
        <w:numPr>
          <w:ilvl w:val="0"/>
          <w:numId w:val="2"/>
        </w:numPr>
        <w:pBdr>
          <w:top w:val="none" w:sz="0" w:space="7" w:color="E5E7EB"/>
          <w:left w:val="none" w:sz="0" w:space="7" w:color="E5E7EB"/>
          <w:bottom w:val="none" w:sz="0" w:space="7" w:color="E5E7EB"/>
          <w:right w:val="none" w:sz="0" w:space="1" w:color="E5E7EB"/>
          <w:between w:val="none" w:sz="0" w:space="7" w:color="E5E7EB"/>
        </w:pBdr>
        <w:shd w:val="clear" w:color="auto" w:fill="FFFFFF"/>
        <w:spacing w:line="276" w:lineRule="auto"/>
        <w:jc w:val="both"/>
        <w:rPr>
          <w:sz w:val="22"/>
          <w:szCs w:val="22"/>
        </w:rPr>
      </w:pPr>
      <w:r>
        <w:rPr>
          <w:sz w:val="22"/>
          <w:szCs w:val="22"/>
        </w:rPr>
        <w:t>Formación periódica en Primeros Auxilios Psicológicos para el personal de las fuerzas de emergencia y primeros respondientes.</w:t>
      </w:r>
    </w:p>
    <w:p w14:paraId="0EC49029" w14:textId="77777777" w:rsidR="00CA3231" w:rsidRDefault="001017FC">
      <w:pPr>
        <w:widowControl w:val="0"/>
        <w:numPr>
          <w:ilvl w:val="0"/>
          <w:numId w:val="2"/>
        </w:numPr>
        <w:pBdr>
          <w:top w:val="none" w:sz="0" w:space="7" w:color="E5E7EB"/>
          <w:left w:val="none" w:sz="0" w:space="7" w:color="E5E7EB"/>
          <w:bottom w:val="none" w:sz="0" w:space="7" w:color="E5E7EB"/>
          <w:right w:val="none" w:sz="0" w:space="1" w:color="E5E7EB"/>
          <w:between w:val="none" w:sz="0" w:space="7" w:color="E5E7EB"/>
        </w:pBdr>
        <w:shd w:val="clear" w:color="auto" w:fill="FFFFFF"/>
        <w:spacing w:line="276" w:lineRule="auto"/>
        <w:jc w:val="both"/>
        <w:rPr>
          <w:sz w:val="22"/>
          <w:szCs w:val="22"/>
        </w:rPr>
      </w:pPr>
      <w:r>
        <w:rPr>
          <w:sz w:val="22"/>
          <w:szCs w:val="22"/>
        </w:rPr>
        <w:t>Implementar actividades de sensibilización dirigidos a la ciudadanía, con especial énfasis en las fuerzas de emergencias y primeros atendientes, sobre la importancia del cuidado de la salud mental, la identificación temprana de síntomas de estrés postraumático y las estrategias para su prevención y tratamiento.</w:t>
      </w:r>
    </w:p>
    <w:p w14:paraId="0EC4902A" w14:textId="77777777" w:rsidR="00CA3231" w:rsidRDefault="001017FC">
      <w:pPr>
        <w:widowControl w:val="0"/>
        <w:pBdr>
          <w:top w:val="none" w:sz="0" w:space="7" w:color="E5E7EB"/>
          <w:left w:val="none" w:sz="0" w:space="7" w:color="E5E7EB"/>
          <w:bottom w:val="none" w:sz="0" w:space="7" w:color="E5E7EB"/>
          <w:right w:val="none" w:sz="0" w:space="1" w:color="E5E7EB"/>
          <w:between w:val="none" w:sz="0" w:space="7" w:color="E5E7EB"/>
        </w:pBdr>
        <w:shd w:val="clear" w:color="auto" w:fill="FFFFFF"/>
        <w:spacing w:line="276" w:lineRule="auto"/>
        <w:jc w:val="both"/>
        <w:rPr>
          <w:sz w:val="22"/>
          <w:szCs w:val="22"/>
        </w:rPr>
      </w:pPr>
      <w:r>
        <w:rPr>
          <w:b/>
          <w:sz w:val="22"/>
          <w:szCs w:val="22"/>
        </w:rPr>
        <w:t>Parágrafo 1.</w:t>
      </w:r>
      <w:r>
        <w:rPr>
          <w:sz w:val="22"/>
          <w:szCs w:val="22"/>
        </w:rPr>
        <w:t xml:space="preserve"> La implementación de dichos lineamientos deberá contemplar en su integralidad el enfoque de género, diferencial e interseccional.</w:t>
      </w:r>
    </w:p>
    <w:p w14:paraId="0EC4902B" w14:textId="77777777" w:rsidR="00CA3231" w:rsidRDefault="001017FC">
      <w:pPr>
        <w:widowControl w:val="0"/>
        <w:pBdr>
          <w:top w:val="none" w:sz="0" w:space="7" w:color="E5E7EB"/>
          <w:left w:val="none" w:sz="0" w:space="7" w:color="E5E7EB"/>
          <w:bottom w:val="none" w:sz="0" w:space="7" w:color="E5E7EB"/>
          <w:right w:val="none" w:sz="0" w:space="1" w:color="E5E7EB"/>
          <w:between w:val="none" w:sz="0" w:space="7" w:color="E5E7EB"/>
        </w:pBdr>
        <w:shd w:val="clear" w:color="auto" w:fill="FFFFFF"/>
        <w:spacing w:line="276" w:lineRule="auto"/>
        <w:jc w:val="both"/>
        <w:rPr>
          <w:sz w:val="22"/>
          <w:szCs w:val="22"/>
        </w:rPr>
      </w:pPr>
      <w:r>
        <w:rPr>
          <w:b/>
          <w:sz w:val="22"/>
          <w:szCs w:val="22"/>
        </w:rPr>
        <w:t xml:space="preserve">Parágrafo 2. </w:t>
      </w:r>
      <w:r>
        <w:rPr>
          <w:sz w:val="22"/>
          <w:szCs w:val="22"/>
        </w:rPr>
        <w:t>La implementación de dichos lineamientos deberá contar con la participación activa de la ciudadanía, agremiaciones de medicina y psicología, colectivos de salud comunitaria, fuerzas de emergencias, primeros respondientes y víctimas de emergencias y/o situaciones traumáticas.</w:t>
      </w:r>
    </w:p>
    <w:p w14:paraId="0EC4902C" w14:textId="77777777" w:rsidR="00CA3231" w:rsidRDefault="001017FC">
      <w:pPr>
        <w:widowControl w:val="0"/>
        <w:pBdr>
          <w:top w:val="none" w:sz="0" w:space="7" w:color="E5E7EB"/>
          <w:left w:val="none" w:sz="0" w:space="7" w:color="E5E7EB"/>
          <w:bottom w:val="none" w:sz="0" w:space="7" w:color="E5E7EB"/>
          <w:right w:val="none" w:sz="0" w:space="1" w:color="E5E7EB"/>
          <w:between w:val="none" w:sz="0" w:space="7" w:color="E5E7EB"/>
        </w:pBdr>
        <w:shd w:val="clear" w:color="auto" w:fill="FFFFFF"/>
        <w:spacing w:line="276" w:lineRule="auto"/>
        <w:jc w:val="both"/>
        <w:rPr>
          <w:sz w:val="22"/>
          <w:szCs w:val="22"/>
        </w:rPr>
      </w:pPr>
      <w:r>
        <w:rPr>
          <w:b/>
          <w:sz w:val="22"/>
          <w:szCs w:val="22"/>
        </w:rPr>
        <w:t xml:space="preserve">Parágrafo 3. </w:t>
      </w:r>
      <w:r>
        <w:rPr>
          <w:sz w:val="22"/>
          <w:szCs w:val="22"/>
        </w:rPr>
        <w:t>La implementación de dichos lineamientos deberá vincularse con las Rutas de Atención para la defensa de los Derechos Humanos de la Secretaría Distrital de Gobierno y el funcionamiento de las líneas de atención a emergencias del Distrito.</w:t>
      </w:r>
    </w:p>
    <w:p w14:paraId="0EC4902D" w14:textId="77777777" w:rsidR="00CA3231" w:rsidRDefault="001017FC">
      <w:pPr>
        <w:widowControl w:val="0"/>
        <w:pBdr>
          <w:top w:val="none" w:sz="0" w:space="7" w:color="E5E7EB"/>
          <w:left w:val="none" w:sz="0" w:space="7" w:color="E5E7EB"/>
          <w:bottom w:val="none" w:sz="0" w:space="7" w:color="E5E7EB"/>
          <w:right w:val="none" w:sz="0" w:space="1" w:color="E5E7EB"/>
          <w:between w:val="none" w:sz="0" w:space="7" w:color="E5E7EB"/>
        </w:pBdr>
        <w:shd w:val="clear" w:color="auto" w:fill="FFFFFF"/>
        <w:spacing w:line="276" w:lineRule="auto"/>
        <w:jc w:val="both"/>
        <w:rPr>
          <w:sz w:val="22"/>
          <w:szCs w:val="22"/>
        </w:rPr>
      </w:pPr>
      <w:r>
        <w:rPr>
          <w:b/>
          <w:sz w:val="22"/>
          <w:szCs w:val="22"/>
        </w:rPr>
        <w:t xml:space="preserve">Artículo 4. Día Distrital para la concientización sobre el Trastorno de Estrés Postraumático. </w:t>
      </w:r>
      <w:r>
        <w:rPr>
          <w:sz w:val="22"/>
          <w:szCs w:val="22"/>
        </w:rPr>
        <w:t>La Administración Distrital establecerá el día Distrital para la concientización sobre el Trastorno de Estrés Postraumático el 27 de junio de cada año, fecha en la cual se promoverán acciones de prevención y adecuado diagnóstico del estrés postraumático.</w:t>
      </w:r>
    </w:p>
    <w:p w14:paraId="0EC4902E" w14:textId="77777777" w:rsidR="00CA3231" w:rsidRDefault="001017FC">
      <w:pPr>
        <w:widowControl w:val="0"/>
        <w:pBdr>
          <w:top w:val="none" w:sz="0" w:space="7" w:color="E5E7EB"/>
          <w:left w:val="none" w:sz="0" w:space="7" w:color="E5E7EB"/>
          <w:bottom w:val="none" w:sz="0" w:space="7" w:color="E5E7EB"/>
          <w:right w:val="none" w:sz="0" w:space="1" w:color="E5E7EB"/>
          <w:between w:val="none" w:sz="0" w:space="7" w:color="E5E7EB"/>
        </w:pBdr>
        <w:shd w:val="clear" w:color="auto" w:fill="FFFFFF"/>
        <w:spacing w:line="276" w:lineRule="auto"/>
        <w:jc w:val="both"/>
        <w:rPr>
          <w:sz w:val="22"/>
          <w:szCs w:val="22"/>
        </w:rPr>
      </w:pPr>
      <w:r>
        <w:rPr>
          <w:b/>
          <w:sz w:val="22"/>
          <w:szCs w:val="22"/>
        </w:rPr>
        <w:t xml:space="preserve">Artículo 5. Informe. </w:t>
      </w:r>
      <w:r>
        <w:rPr>
          <w:sz w:val="22"/>
          <w:szCs w:val="22"/>
        </w:rPr>
        <w:t>La Administración Distrital en cabeza de las entidades competentes deberá presentar un informe anual al Concejo de Bogotá  en el cual se indiquen los avances y acciones adelantadas</w:t>
      </w:r>
    </w:p>
    <w:p w14:paraId="0EC4902F" w14:textId="77777777" w:rsidR="00CA3231" w:rsidRDefault="001017FC">
      <w:pPr>
        <w:widowControl w:val="0"/>
        <w:pBdr>
          <w:top w:val="none" w:sz="0" w:space="7" w:color="E5E7EB"/>
          <w:left w:val="none" w:sz="0" w:space="7" w:color="E5E7EB"/>
          <w:bottom w:val="none" w:sz="0" w:space="7" w:color="E5E7EB"/>
          <w:right w:val="none" w:sz="0" w:space="1" w:color="E5E7EB"/>
          <w:between w:val="none" w:sz="0" w:space="7" w:color="E5E7EB"/>
        </w:pBdr>
        <w:shd w:val="clear" w:color="auto" w:fill="FFFFFF"/>
        <w:spacing w:line="276" w:lineRule="auto"/>
        <w:jc w:val="both"/>
        <w:rPr>
          <w:sz w:val="22"/>
          <w:szCs w:val="22"/>
        </w:rPr>
      </w:pPr>
      <w:r>
        <w:rPr>
          <w:b/>
          <w:sz w:val="22"/>
          <w:szCs w:val="22"/>
        </w:rPr>
        <w:t xml:space="preserve">Artículo 5. Plazo. </w:t>
      </w:r>
      <w:r>
        <w:rPr>
          <w:sz w:val="22"/>
          <w:szCs w:val="22"/>
        </w:rPr>
        <w:t>La Administración Distrital aplicará el contenido del presente acuerdo en el término de seis (6) meses contados a partir de su promulgación.</w:t>
      </w:r>
    </w:p>
    <w:p w14:paraId="0EC49030" w14:textId="77777777" w:rsidR="00CA3231" w:rsidRDefault="001017FC">
      <w:pPr>
        <w:widowControl w:val="0"/>
        <w:pBdr>
          <w:top w:val="none" w:sz="0" w:space="7" w:color="E5E7EB"/>
          <w:left w:val="none" w:sz="0" w:space="7" w:color="E5E7EB"/>
          <w:bottom w:val="none" w:sz="0" w:space="7" w:color="E5E7EB"/>
          <w:right w:val="none" w:sz="0" w:space="1" w:color="E5E7EB"/>
          <w:between w:val="none" w:sz="0" w:space="7" w:color="E5E7EB"/>
        </w:pBdr>
        <w:shd w:val="clear" w:color="auto" w:fill="FFFFFF"/>
        <w:spacing w:line="276" w:lineRule="auto"/>
        <w:jc w:val="both"/>
        <w:rPr>
          <w:sz w:val="22"/>
          <w:szCs w:val="22"/>
        </w:rPr>
      </w:pPr>
      <w:r>
        <w:rPr>
          <w:b/>
          <w:sz w:val="22"/>
          <w:szCs w:val="22"/>
        </w:rPr>
        <w:t xml:space="preserve">Artículo 6. Vigencia. </w:t>
      </w:r>
      <w:r>
        <w:rPr>
          <w:sz w:val="22"/>
          <w:szCs w:val="22"/>
        </w:rPr>
        <w:t>El presente Acuerdo rige a partir de su fecha de publicación y deroga las disposiciones que le sean contrarias.</w:t>
      </w:r>
    </w:p>
    <w:p w14:paraId="0EC49031" w14:textId="77777777" w:rsidR="00CA3231" w:rsidRDefault="001017FC">
      <w:pPr>
        <w:widowControl w:val="0"/>
        <w:pBdr>
          <w:top w:val="none" w:sz="0" w:space="7" w:color="000000"/>
          <w:left w:val="none" w:sz="0" w:space="7" w:color="000000"/>
          <w:bottom w:val="none" w:sz="0" w:space="0" w:color="000000"/>
          <w:right w:val="none" w:sz="0" w:space="7" w:color="000000"/>
          <w:between w:val="none" w:sz="0" w:space="7" w:color="000000"/>
        </w:pBdr>
        <w:shd w:val="clear" w:color="auto" w:fill="FFFFFF"/>
        <w:spacing w:before="240" w:after="240" w:line="276" w:lineRule="auto"/>
        <w:jc w:val="center"/>
        <w:rPr>
          <w:sz w:val="22"/>
          <w:szCs w:val="22"/>
        </w:rPr>
      </w:pPr>
      <w:r>
        <w:rPr>
          <w:b/>
          <w:i/>
          <w:sz w:val="22"/>
          <w:szCs w:val="22"/>
        </w:rPr>
        <w:t>PUBLÍQUESE Y CÚMPLASE</w:t>
      </w:r>
    </w:p>
    <w:sectPr w:rsidR="00CA3231">
      <w:headerReference w:type="default" r:id="rId9"/>
      <w:footerReference w:type="even" r:id="rId10"/>
      <w:footerReference w:type="default" r:id="rId11"/>
      <w:pgSz w:w="12242" w:h="15842"/>
      <w:pgMar w:top="1701" w:right="1701" w:bottom="1701" w:left="1701" w:header="1134" w:footer="851"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C4904C" w14:textId="77777777" w:rsidR="00A454CB" w:rsidRDefault="001017FC">
      <w:r>
        <w:separator/>
      </w:r>
    </w:p>
  </w:endnote>
  <w:endnote w:type="continuationSeparator" w:id="0">
    <w:p w14:paraId="0EC4904E" w14:textId="77777777" w:rsidR="00A454CB" w:rsidRDefault="00101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49040" w14:textId="77777777" w:rsidR="00CA3231" w:rsidRDefault="001017FC">
    <w:pPr>
      <w:pBdr>
        <w:top w:val="nil"/>
        <w:left w:val="nil"/>
        <w:bottom w:val="nil"/>
        <w:right w:val="nil"/>
        <w:between w:val="nil"/>
      </w:pBdr>
      <w:tabs>
        <w:tab w:val="center" w:pos="4252"/>
        <w:tab w:val="right" w:pos="8504"/>
      </w:tabs>
      <w:jc w:val="right"/>
    </w:pPr>
    <w:r>
      <w:fldChar w:fldCharType="begin"/>
    </w:r>
    <w:r>
      <w:instrText>PAGE</w:instrText>
    </w:r>
    <w:r>
      <w:fldChar w:fldCharType="end"/>
    </w:r>
  </w:p>
  <w:p w14:paraId="0EC49041" w14:textId="77777777" w:rsidR="00CA3231" w:rsidRDefault="00CA3231">
    <w:pPr>
      <w:pBdr>
        <w:top w:val="nil"/>
        <w:left w:val="nil"/>
        <w:bottom w:val="nil"/>
        <w:right w:val="nil"/>
        <w:between w:val="nil"/>
      </w:pBdr>
      <w:tabs>
        <w:tab w:val="center" w:pos="4252"/>
        <w:tab w:val="right" w:pos="8504"/>
      </w:tabs>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49042" w14:textId="77777777" w:rsidR="00CA3231" w:rsidRDefault="00CA3231">
    <w:pPr>
      <w:pBdr>
        <w:top w:val="nil"/>
        <w:left w:val="nil"/>
        <w:bottom w:val="nil"/>
        <w:right w:val="nil"/>
        <w:between w:val="nil"/>
      </w:pBdr>
      <w:tabs>
        <w:tab w:val="center" w:pos="4252"/>
        <w:tab w:val="right" w:pos="8504"/>
      </w:tabs>
      <w:jc w:val="center"/>
      <w:rPr>
        <w:sz w:val="18"/>
        <w:szCs w:val="18"/>
      </w:rPr>
    </w:pPr>
  </w:p>
  <w:p w14:paraId="0EC49043" w14:textId="77777777" w:rsidR="00CA3231" w:rsidRDefault="00CA3231">
    <w:pPr>
      <w:pBdr>
        <w:top w:val="nil"/>
        <w:left w:val="nil"/>
        <w:bottom w:val="nil"/>
        <w:right w:val="nil"/>
        <w:between w:val="nil"/>
      </w:pBdr>
      <w:tabs>
        <w:tab w:val="center" w:pos="4252"/>
        <w:tab w:val="right" w:pos="8504"/>
      </w:tabs>
      <w:jc w:val="center"/>
      <w:rPr>
        <w:sz w:val="18"/>
        <w:szCs w:val="18"/>
      </w:rPr>
    </w:pPr>
  </w:p>
  <w:p w14:paraId="0EC49044" w14:textId="77777777" w:rsidR="00CA3231" w:rsidRDefault="00CA3231">
    <w:pPr>
      <w:pBdr>
        <w:top w:val="nil"/>
        <w:left w:val="nil"/>
        <w:bottom w:val="nil"/>
        <w:right w:val="nil"/>
        <w:between w:val="nil"/>
      </w:pBdr>
      <w:tabs>
        <w:tab w:val="center" w:pos="4252"/>
        <w:tab w:val="right" w:pos="8504"/>
      </w:tabs>
      <w:jc w:val="center"/>
      <w:rPr>
        <w:sz w:val="16"/>
        <w:szCs w:val="16"/>
      </w:rPr>
    </w:pPr>
  </w:p>
  <w:p w14:paraId="0EC49045" w14:textId="77777777" w:rsidR="00CA3231" w:rsidRDefault="00CA3231">
    <w:pPr>
      <w:pBdr>
        <w:top w:val="nil"/>
        <w:left w:val="nil"/>
        <w:bottom w:val="nil"/>
        <w:right w:val="nil"/>
        <w:between w:val="nil"/>
      </w:pBdr>
      <w:tabs>
        <w:tab w:val="center" w:pos="4252"/>
        <w:tab w:val="right" w:pos="8504"/>
      </w:tabs>
      <w:rPr>
        <w:sz w:val="16"/>
        <w:szCs w:val="16"/>
      </w:rPr>
    </w:pPr>
  </w:p>
  <w:p w14:paraId="0EC49046" w14:textId="77777777" w:rsidR="00CA3231" w:rsidRDefault="00CA3231">
    <w:pPr>
      <w:pBdr>
        <w:top w:val="nil"/>
        <w:left w:val="nil"/>
        <w:bottom w:val="nil"/>
        <w:right w:val="nil"/>
        <w:between w:val="nil"/>
      </w:pBdr>
      <w:tabs>
        <w:tab w:val="center" w:pos="4252"/>
        <w:tab w:val="right" w:pos="8504"/>
      </w:tabs>
      <w:rPr>
        <w:sz w:val="16"/>
        <w:szCs w:val="16"/>
      </w:rPr>
    </w:pPr>
  </w:p>
  <w:p w14:paraId="0EC49047" w14:textId="77777777" w:rsidR="00CA3231" w:rsidRDefault="00CA3231">
    <w:pPr>
      <w:jc w:val="right"/>
      <w:rPr>
        <w:b/>
        <w:sz w:val="18"/>
        <w:szCs w:val="1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C49048" w14:textId="77777777" w:rsidR="00A454CB" w:rsidRDefault="001017FC">
      <w:r>
        <w:separator/>
      </w:r>
    </w:p>
  </w:footnote>
  <w:footnote w:type="continuationSeparator" w:id="0">
    <w:p w14:paraId="0EC4904A" w14:textId="77777777" w:rsidR="00A454CB" w:rsidRDefault="001017FC">
      <w:r>
        <w:continuationSeparator/>
      </w:r>
    </w:p>
  </w:footnote>
  <w:footnote w:id="1">
    <w:p w14:paraId="0EC4904A" w14:textId="77777777" w:rsidR="00CA3231" w:rsidRDefault="001017FC">
      <w:pPr>
        <w:rPr>
          <w:rFonts w:ascii="Times New Roman" w:hAnsi="Times New Roman"/>
          <w:sz w:val="16"/>
          <w:szCs w:val="16"/>
        </w:rPr>
      </w:pPr>
      <w:r>
        <w:rPr>
          <w:vertAlign w:val="superscript"/>
        </w:rPr>
        <w:footnoteRef/>
      </w:r>
      <w:r>
        <w:rPr>
          <w:sz w:val="20"/>
        </w:rPr>
        <w:t xml:space="preserve"> </w:t>
      </w:r>
      <w:r>
        <w:rPr>
          <w:rFonts w:ascii="Times New Roman" w:hAnsi="Times New Roman"/>
          <w:sz w:val="16"/>
          <w:szCs w:val="16"/>
        </w:rPr>
        <w:t xml:space="preserve">Carvajal, César. (2002). Trastorno por estrés postraumático: aspectos clínicos. Revista chilena de neuro-psiquiatría, 40(Supl. 2), 20-34. </w:t>
      </w:r>
      <w:hyperlink r:id="rId1">
        <w:r>
          <w:rPr>
            <w:rFonts w:ascii="Times New Roman" w:hAnsi="Times New Roman"/>
            <w:color w:val="1155CC"/>
            <w:sz w:val="16"/>
            <w:szCs w:val="16"/>
            <w:u w:val="single"/>
          </w:rPr>
          <w:t>https://dx.doi.org/10.4067/S0717-92272002000600003</w:t>
        </w:r>
      </w:hyperlink>
      <w:r>
        <w:rPr>
          <w:rFonts w:ascii="Times New Roman" w:hAnsi="Times New Roman"/>
          <w:sz w:val="16"/>
          <w:szCs w:val="16"/>
        </w:rPr>
        <w:t xml:space="preserve"> </w:t>
      </w:r>
    </w:p>
  </w:footnote>
  <w:footnote w:id="2">
    <w:p w14:paraId="0EC4904B" w14:textId="77777777" w:rsidR="00CA3231" w:rsidRDefault="001017FC">
      <w:pPr>
        <w:rPr>
          <w:rFonts w:ascii="Times New Roman" w:hAnsi="Times New Roman"/>
          <w:sz w:val="16"/>
          <w:szCs w:val="16"/>
        </w:rPr>
      </w:pPr>
      <w:r>
        <w:rPr>
          <w:vertAlign w:val="superscript"/>
        </w:rPr>
        <w:footnoteRef/>
      </w:r>
      <w:r>
        <w:rPr>
          <w:sz w:val="20"/>
        </w:rPr>
        <w:t xml:space="preserve"> </w:t>
      </w:r>
      <w:r>
        <w:rPr>
          <w:rFonts w:ascii="Times New Roman" w:hAnsi="Times New Roman"/>
          <w:sz w:val="16"/>
          <w:szCs w:val="16"/>
        </w:rPr>
        <w:t xml:space="preserve">Palacios L, Heinze G. Trastorno por estrés postraumático: Una revisión del tema (Primera Parte). Salud Mental. 2002;25(3):19-26. </w:t>
      </w:r>
      <w:hyperlink r:id="rId2">
        <w:r>
          <w:rPr>
            <w:rFonts w:ascii="Times New Roman" w:hAnsi="Times New Roman"/>
            <w:color w:val="1155CC"/>
            <w:sz w:val="16"/>
            <w:szCs w:val="16"/>
            <w:u w:val="single"/>
          </w:rPr>
          <w:t>https://www.medigraphic.com/cgi-bin/new/resumen.cgi?IDARTICULO=17499</w:t>
        </w:r>
      </w:hyperlink>
      <w:r>
        <w:rPr>
          <w:rFonts w:ascii="Times New Roman" w:hAnsi="Times New Roman"/>
          <w:sz w:val="16"/>
          <w:szCs w:val="16"/>
        </w:rPr>
        <w:t xml:space="preserve"> </w:t>
      </w:r>
    </w:p>
  </w:footnote>
  <w:footnote w:id="3">
    <w:p w14:paraId="0EC4904C" w14:textId="77777777" w:rsidR="00CA3231" w:rsidRDefault="001017FC">
      <w:pPr>
        <w:rPr>
          <w:rFonts w:ascii="Times New Roman" w:hAnsi="Times New Roman"/>
          <w:sz w:val="16"/>
          <w:szCs w:val="16"/>
        </w:rPr>
      </w:pPr>
      <w:r>
        <w:rPr>
          <w:vertAlign w:val="superscript"/>
        </w:rPr>
        <w:footnoteRef/>
      </w:r>
      <w:r>
        <w:rPr>
          <w:sz w:val="20"/>
        </w:rPr>
        <w:t xml:space="preserve"> </w:t>
      </w:r>
      <w:r>
        <w:rPr>
          <w:rFonts w:ascii="Times New Roman" w:hAnsi="Times New Roman"/>
          <w:sz w:val="16"/>
          <w:szCs w:val="16"/>
        </w:rPr>
        <w:t xml:space="preserve">Carvajal, César. (2002). Trastorno por estrés postraumático: aspectos clínicos. Revista chilena de neuro-psiquiatría, 40(Supl. 2), 20-34. </w:t>
      </w:r>
      <w:hyperlink r:id="rId3">
        <w:r>
          <w:rPr>
            <w:rFonts w:ascii="Times New Roman" w:hAnsi="Times New Roman"/>
            <w:color w:val="1155CC"/>
            <w:sz w:val="16"/>
            <w:szCs w:val="16"/>
            <w:u w:val="single"/>
          </w:rPr>
          <w:t>https://dx.doi.org/10.4067/S0717-92272002000600003</w:t>
        </w:r>
      </w:hyperlink>
      <w:r>
        <w:rPr>
          <w:rFonts w:ascii="Times New Roman" w:hAnsi="Times New Roman"/>
          <w:sz w:val="16"/>
          <w:szCs w:val="16"/>
        </w:rPr>
        <w:t xml:space="preserve"> </w:t>
      </w:r>
    </w:p>
  </w:footnote>
  <w:footnote w:id="4">
    <w:p w14:paraId="0EC4904D" w14:textId="77777777" w:rsidR="00CA3231" w:rsidRDefault="001017FC">
      <w:pPr>
        <w:rPr>
          <w:rFonts w:ascii="Times New Roman" w:hAnsi="Times New Roman"/>
          <w:sz w:val="16"/>
          <w:szCs w:val="16"/>
        </w:rPr>
      </w:pPr>
      <w:r>
        <w:rPr>
          <w:vertAlign w:val="superscript"/>
        </w:rPr>
        <w:footnoteRef/>
      </w:r>
      <w:r>
        <w:rPr>
          <w:sz w:val="20"/>
        </w:rPr>
        <w:t xml:space="preserve"> </w:t>
      </w:r>
      <w:r>
        <w:rPr>
          <w:rFonts w:ascii="Times New Roman" w:hAnsi="Times New Roman"/>
          <w:sz w:val="16"/>
          <w:szCs w:val="16"/>
        </w:rPr>
        <w:t xml:space="preserve">Disponible en la web: </w:t>
      </w:r>
      <w:hyperlink r:id="rId4">
        <w:r>
          <w:rPr>
            <w:rFonts w:ascii="Times New Roman" w:hAnsi="Times New Roman"/>
            <w:color w:val="1155CC"/>
            <w:sz w:val="16"/>
            <w:szCs w:val="16"/>
            <w:u w:val="single"/>
          </w:rPr>
          <w:t>https://www.federaciocatalanatdah.org/wp-content/uploads/2018/12/dsm5-manualdiagnsticoyestadisticodelostrastornosmentales-161006005112.pdf</w:t>
        </w:r>
      </w:hyperlink>
      <w:r>
        <w:rPr>
          <w:rFonts w:ascii="Times New Roman" w:hAnsi="Times New Roman"/>
          <w:sz w:val="16"/>
          <w:szCs w:val="16"/>
        </w:rPr>
        <w:t xml:space="preserve"> </w:t>
      </w:r>
    </w:p>
  </w:footnote>
  <w:footnote w:id="5">
    <w:p w14:paraId="0EC4904E" w14:textId="77777777" w:rsidR="00CA3231" w:rsidRDefault="001017FC">
      <w:pPr>
        <w:rPr>
          <w:rFonts w:ascii="Times New Roman" w:hAnsi="Times New Roman"/>
          <w:sz w:val="16"/>
          <w:szCs w:val="16"/>
        </w:rPr>
      </w:pPr>
      <w:r>
        <w:rPr>
          <w:vertAlign w:val="superscript"/>
        </w:rPr>
        <w:footnoteRef/>
      </w:r>
      <w:r>
        <w:rPr>
          <w:sz w:val="20"/>
        </w:rPr>
        <w:t xml:space="preserve"> </w:t>
      </w:r>
      <w:r>
        <w:rPr>
          <w:rFonts w:ascii="Times New Roman" w:hAnsi="Times New Roman"/>
          <w:sz w:val="16"/>
          <w:szCs w:val="16"/>
        </w:rPr>
        <w:t>Ibid.</w:t>
      </w:r>
    </w:p>
  </w:footnote>
  <w:footnote w:id="6">
    <w:p w14:paraId="0EC4904F" w14:textId="77777777" w:rsidR="00CA3231" w:rsidRDefault="001017FC">
      <w:pPr>
        <w:rPr>
          <w:rFonts w:ascii="Times New Roman" w:hAnsi="Times New Roman"/>
          <w:sz w:val="16"/>
          <w:szCs w:val="16"/>
        </w:rPr>
      </w:pPr>
      <w:r>
        <w:rPr>
          <w:vertAlign w:val="superscript"/>
        </w:rPr>
        <w:footnoteRef/>
      </w:r>
      <w:r>
        <w:rPr>
          <w:sz w:val="20"/>
        </w:rPr>
        <w:t xml:space="preserve"> </w:t>
      </w:r>
      <w:r>
        <w:rPr>
          <w:rFonts w:ascii="Times New Roman" w:hAnsi="Times New Roman"/>
          <w:sz w:val="16"/>
          <w:szCs w:val="16"/>
        </w:rPr>
        <w:t>Ibid.</w:t>
      </w:r>
    </w:p>
  </w:footnote>
  <w:footnote w:id="7">
    <w:p w14:paraId="0EC49050" w14:textId="77777777" w:rsidR="00CA3231" w:rsidRDefault="001017FC">
      <w:pPr>
        <w:jc w:val="both"/>
        <w:rPr>
          <w:rFonts w:ascii="Times New Roman" w:hAnsi="Times New Roman"/>
          <w:sz w:val="16"/>
          <w:szCs w:val="16"/>
        </w:rPr>
      </w:pPr>
      <w:r>
        <w:rPr>
          <w:vertAlign w:val="superscript"/>
        </w:rPr>
        <w:footnoteRef/>
      </w:r>
      <w:r>
        <w:rPr>
          <w:rFonts w:ascii="Times New Roman" w:hAnsi="Times New Roman"/>
          <w:sz w:val="16"/>
          <w:szCs w:val="16"/>
        </w:rPr>
        <w:t xml:space="preserve"> </w:t>
      </w:r>
      <w:r>
        <w:rPr>
          <w:rFonts w:ascii="Times New Roman" w:hAnsi="Times New Roman"/>
          <w:i/>
          <w:sz w:val="16"/>
          <w:szCs w:val="16"/>
        </w:rPr>
        <w:t>Trastorno por estrés postraumático</w:t>
      </w:r>
      <w:r>
        <w:rPr>
          <w:rFonts w:ascii="Times New Roman" w:hAnsi="Times New Roman"/>
          <w:sz w:val="16"/>
          <w:szCs w:val="16"/>
        </w:rPr>
        <w:t>. (2023). National Institute of Mental Health (NIMH). https://www.nimh.nih.gov/health/publications/espanol/trastorno-por-estres-postraumatico</w:t>
      </w:r>
    </w:p>
  </w:footnote>
  <w:footnote w:id="8">
    <w:p w14:paraId="0EC49051" w14:textId="77777777" w:rsidR="00CA3231" w:rsidRDefault="001017FC">
      <w:pPr>
        <w:pBdr>
          <w:top w:val="nil"/>
          <w:left w:val="nil"/>
          <w:bottom w:val="nil"/>
          <w:right w:val="nil"/>
          <w:between w:val="nil"/>
        </w:pBdr>
        <w:jc w:val="both"/>
        <w:rPr>
          <w:rFonts w:ascii="Times New Roman" w:hAnsi="Times New Roman"/>
          <w:sz w:val="16"/>
          <w:szCs w:val="16"/>
        </w:rPr>
      </w:pPr>
      <w:r>
        <w:rPr>
          <w:vertAlign w:val="superscript"/>
        </w:rPr>
        <w:footnoteRef/>
      </w:r>
      <w:r>
        <w:rPr>
          <w:rFonts w:ascii="Times New Roman" w:hAnsi="Times New Roman"/>
          <w:sz w:val="16"/>
          <w:szCs w:val="16"/>
        </w:rPr>
        <w:t xml:space="preserve"> Sofía, S., Aguado, M., Jorge Álvarez Casado, &amp; Rebeca Amores Tola. (2022). Estrés post-traumático en la atención de emergencias y rescates. </w:t>
      </w:r>
      <w:r>
        <w:rPr>
          <w:rFonts w:ascii="Times New Roman" w:hAnsi="Times New Roman"/>
          <w:i/>
          <w:sz w:val="16"/>
          <w:szCs w:val="16"/>
        </w:rPr>
        <w:t>Medicina Y Seguridad Del Trabajo</w:t>
      </w:r>
      <w:r>
        <w:rPr>
          <w:rFonts w:ascii="Times New Roman" w:hAnsi="Times New Roman"/>
          <w:sz w:val="16"/>
          <w:szCs w:val="16"/>
        </w:rPr>
        <w:t>, </w:t>
      </w:r>
      <w:r>
        <w:rPr>
          <w:rFonts w:ascii="Times New Roman" w:hAnsi="Times New Roman"/>
          <w:i/>
          <w:sz w:val="16"/>
          <w:szCs w:val="16"/>
        </w:rPr>
        <w:t>67</w:t>
      </w:r>
      <w:r>
        <w:rPr>
          <w:rFonts w:ascii="Times New Roman" w:hAnsi="Times New Roman"/>
          <w:sz w:val="16"/>
          <w:szCs w:val="16"/>
        </w:rPr>
        <w:t>(264), 232–244. https://doi.org/10.4321/s0465-546x2021000300007</w:t>
      </w:r>
    </w:p>
  </w:footnote>
  <w:footnote w:id="9">
    <w:p w14:paraId="0EC49052" w14:textId="77777777" w:rsidR="00CA3231" w:rsidRDefault="001017FC">
      <w:pPr>
        <w:pBdr>
          <w:top w:val="nil"/>
          <w:left w:val="nil"/>
          <w:bottom w:val="nil"/>
          <w:right w:val="nil"/>
          <w:between w:val="nil"/>
        </w:pBdr>
        <w:jc w:val="both"/>
        <w:rPr>
          <w:rFonts w:ascii="Calibri" w:eastAsia="Calibri" w:hAnsi="Calibri" w:cs="Calibri"/>
          <w:sz w:val="16"/>
          <w:szCs w:val="16"/>
        </w:rPr>
      </w:pPr>
      <w:r>
        <w:rPr>
          <w:vertAlign w:val="superscript"/>
        </w:rPr>
        <w:footnoteRef/>
      </w:r>
      <w:r>
        <w:rPr>
          <w:rFonts w:ascii="Times New Roman" w:hAnsi="Times New Roman"/>
          <w:sz w:val="16"/>
          <w:szCs w:val="16"/>
        </w:rPr>
        <w:t xml:space="preserve"> Duque Arellanos, V. &amp; Gómez Dupuis, N. 2014: Manual -Lineamientos para el Cuidado de los Equipos, Promoción del Autocuidado y Atención en Crisis. Dirigido a operadores de Justicia del Organismo Judicial. Ed. IDEART. Guatemala.</w:t>
      </w:r>
    </w:p>
  </w:footnote>
  <w:footnote w:id="10">
    <w:p w14:paraId="0EC49053" w14:textId="77777777" w:rsidR="00CA3231" w:rsidRDefault="001017FC">
      <w:pPr>
        <w:rPr>
          <w:rFonts w:ascii="Times New Roman" w:hAnsi="Times New Roman"/>
          <w:sz w:val="16"/>
          <w:szCs w:val="16"/>
        </w:rPr>
      </w:pPr>
      <w:r>
        <w:rPr>
          <w:vertAlign w:val="superscript"/>
        </w:rPr>
        <w:footnoteRef/>
      </w:r>
      <w:r>
        <w:rPr>
          <w:rFonts w:ascii="Times New Roman" w:hAnsi="Times New Roman"/>
          <w:sz w:val="16"/>
          <w:szCs w:val="16"/>
          <w:highlight w:val="white"/>
        </w:rPr>
        <w:t xml:space="preserve"> Disponible en la web: </w:t>
      </w:r>
      <w:hyperlink r:id="rId5">
        <w:r>
          <w:rPr>
            <w:rFonts w:ascii="Times New Roman" w:hAnsi="Times New Roman"/>
            <w:color w:val="1155CC"/>
            <w:sz w:val="16"/>
            <w:szCs w:val="16"/>
            <w:highlight w:val="white"/>
            <w:u w:val="single"/>
          </w:rPr>
          <w:t>https://storage.googleapis.com/saludata_descargas/Salud_Mental/Estudio%20salud%20mental.pdf</w:t>
        </w:r>
      </w:hyperlink>
      <w:r>
        <w:rPr>
          <w:rFonts w:ascii="Times New Roman" w:hAnsi="Times New Roman"/>
          <w:sz w:val="16"/>
          <w:szCs w:val="16"/>
          <w:highlight w:val="white"/>
        </w:rPr>
        <w:t xml:space="preserve">  </w:t>
      </w:r>
    </w:p>
  </w:footnote>
  <w:footnote w:id="11">
    <w:p w14:paraId="0EC49054" w14:textId="77777777" w:rsidR="00CA3231" w:rsidRDefault="001017FC">
      <w:pPr>
        <w:rPr>
          <w:rFonts w:ascii="Times New Roman" w:hAnsi="Times New Roman"/>
          <w:sz w:val="16"/>
          <w:szCs w:val="16"/>
        </w:rPr>
      </w:pPr>
      <w:r>
        <w:rPr>
          <w:vertAlign w:val="superscript"/>
        </w:rPr>
        <w:footnoteRef/>
      </w:r>
      <w:r>
        <w:rPr>
          <w:rFonts w:ascii="Times New Roman" w:hAnsi="Times New Roman"/>
          <w:sz w:val="16"/>
          <w:szCs w:val="16"/>
        </w:rPr>
        <w:t xml:space="preserve"> Ibid.</w:t>
      </w:r>
    </w:p>
  </w:footnote>
  <w:footnote w:id="12">
    <w:p w14:paraId="0EC49055" w14:textId="77777777" w:rsidR="00CA3231" w:rsidRDefault="001017FC">
      <w:pPr>
        <w:rPr>
          <w:rFonts w:ascii="Times New Roman" w:hAnsi="Times New Roman"/>
          <w:sz w:val="16"/>
          <w:szCs w:val="16"/>
        </w:rPr>
      </w:pPr>
      <w:r>
        <w:rPr>
          <w:vertAlign w:val="superscript"/>
        </w:rPr>
        <w:footnoteRef/>
      </w:r>
      <w:r>
        <w:rPr>
          <w:rFonts w:ascii="Times New Roman" w:hAnsi="Times New Roman"/>
          <w:sz w:val="16"/>
          <w:szCs w:val="16"/>
        </w:rPr>
        <w:t xml:space="preserve"> Ibid.</w:t>
      </w:r>
    </w:p>
  </w:footnote>
  <w:footnote w:id="13">
    <w:p w14:paraId="0EC49056" w14:textId="77777777" w:rsidR="00CA3231" w:rsidRDefault="001017FC">
      <w:pPr>
        <w:rPr>
          <w:rFonts w:ascii="Times New Roman" w:hAnsi="Times New Roman"/>
          <w:sz w:val="16"/>
          <w:szCs w:val="16"/>
        </w:rPr>
      </w:pPr>
      <w:r>
        <w:rPr>
          <w:vertAlign w:val="superscript"/>
        </w:rPr>
        <w:footnoteRef/>
      </w:r>
      <w:r>
        <w:rPr>
          <w:rFonts w:ascii="Times New Roman" w:hAnsi="Times New Roman"/>
          <w:sz w:val="16"/>
          <w:szCs w:val="16"/>
        </w:rPr>
        <w:t xml:space="preserve"> Ibid.</w:t>
      </w:r>
    </w:p>
  </w:footnote>
  <w:footnote w:id="14">
    <w:p w14:paraId="0EC49057" w14:textId="77777777" w:rsidR="00CA3231" w:rsidRDefault="001017FC">
      <w:pPr>
        <w:rPr>
          <w:rFonts w:ascii="Times New Roman" w:hAnsi="Times New Roman"/>
          <w:sz w:val="16"/>
          <w:szCs w:val="16"/>
        </w:rPr>
      </w:pPr>
      <w:r>
        <w:rPr>
          <w:vertAlign w:val="superscript"/>
        </w:rPr>
        <w:footnoteRef/>
      </w:r>
      <w:r>
        <w:rPr>
          <w:rFonts w:ascii="Times New Roman" w:hAnsi="Times New Roman"/>
          <w:sz w:val="16"/>
          <w:szCs w:val="16"/>
        </w:rPr>
        <w:t xml:space="preserve"> Ibid.</w:t>
      </w:r>
    </w:p>
  </w:footnote>
  <w:footnote w:id="15">
    <w:p w14:paraId="0EC49058" w14:textId="77777777" w:rsidR="00CA3231" w:rsidRDefault="001017FC">
      <w:pPr>
        <w:pBdr>
          <w:top w:val="nil"/>
          <w:left w:val="nil"/>
          <w:bottom w:val="nil"/>
          <w:right w:val="nil"/>
          <w:between w:val="nil"/>
        </w:pBdr>
        <w:jc w:val="both"/>
        <w:rPr>
          <w:rFonts w:ascii="Times New Roman" w:hAnsi="Times New Roman"/>
          <w:sz w:val="16"/>
          <w:szCs w:val="16"/>
        </w:rPr>
      </w:pPr>
      <w:r>
        <w:rPr>
          <w:vertAlign w:val="superscript"/>
        </w:rPr>
        <w:footnoteRef/>
      </w:r>
      <w:r>
        <w:rPr>
          <w:rFonts w:ascii="Times New Roman" w:hAnsi="Times New Roman"/>
          <w:sz w:val="16"/>
          <w:szCs w:val="16"/>
        </w:rPr>
        <w:t xml:space="preserve"> Humberto Marín Uribe. (2016). </w:t>
      </w:r>
      <w:r>
        <w:rPr>
          <w:rFonts w:ascii="Times New Roman" w:hAnsi="Times New Roman"/>
          <w:i/>
          <w:sz w:val="16"/>
          <w:szCs w:val="16"/>
        </w:rPr>
        <w:t>¿Cómo proteger la salud mental del personal que trabaja en emergencias y desastres?</w:t>
      </w:r>
      <w:r>
        <w:rPr>
          <w:rFonts w:ascii="Times New Roman" w:hAnsi="Times New Roman"/>
          <w:sz w:val="16"/>
          <w:szCs w:val="16"/>
        </w:rPr>
        <w:t> Sociedad Chilena de Psicología En Emergencias Y Desastres. https://sochped.cl/noticias/442-como-proteger-la-salud-mental-del-personal-que-trabaja-en-emergencias</w:t>
      </w:r>
    </w:p>
  </w:footnote>
  <w:footnote w:id="16">
    <w:p w14:paraId="0EC49059" w14:textId="77777777" w:rsidR="00CA3231" w:rsidRDefault="001017FC">
      <w:pPr>
        <w:pBdr>
          <w:top w:val="nil"/>
          <w:left w:val="nil"/>
          <w:bottom w:val="nil"/>
          <w:right w:val="nil"/>
          <w:between w:val="nil"/>
        </w:pBdr>
        <w:jc w:val="both"/>
        <w:rPr>
          <w:rFonts w:ascii="Times New Roman" w:hAnsi="Times New Roman"/>
          <w:sz w:val="16"/>
          <w:szCs w:val="16"/>
        </w:rPr>
      </w:pPr>
      <w:r>
        <w:rPr>
          <w:vertAlign w:val="superscript"/>
        </w:rPr>
        <w:footnoteRef/>
      </w:r>
      <w:r>
        <w:rPr>
          <w:rFonts w:ascii="Times New Roman" w:hAnsi="Times New Roman"/>
          <w:sz w:val="16"/>
          <w:szCs w:val="16"/>
        </w:rPr>
        <w:t xml:space="preserve"> Mar Gómez-Gutiérrez, Chaparro-Morillo, G., Martín-de-Francisco, C., &amp; Crespo, M. (2018). Tratamiento Cognitivo-conductual de un Caso de Estrés Postraumático por Accidente Ferroviario. ¿Éxito Terapéutico o Evitación? </w:t>
      </w:r>
      <w:r>
        <w:rPr>
          <w:rFonts w:ascii="Times New Roman" w:hAnsi="Times New Roman"/>
          <w:i/>
          <w:sz w:val="16"/>
          <w:szCs w:val="16"/>
        </w:rPr>
        <w:t>Clínica Y Salud</w:t>
      </w:r>
      <w:r>
        <w:rPr>
          <w:rFonts w:ascii="Times New Roman" w:hAnsi="Times New Roman"/>
          <w:sz w:val="16"/>
          <w:szCs w:val="16"/>
        </w:rPr>
        <w:t>, </w:t>
      </w:r>
      <w:r>
        <w:rPr>
          <w:rFonts w:ascii="Times New Roman" w:hAnsi="Times New Roman"/>
          <w:i/>
          <w:sz w:val="16"/>
          <w:szCs w:val="16"/>
        </w:rPr>
        <w:t>29</w:t>
      </w:r>
      <w:r>
        <w:rPr>
          <w:rFonts w:ascii="Times New Roman" w:hAnsi="Times New Roman"/>
          <w:sz w:val="16"/>
          <w:szCs w:val="16"/>
        </w:rPr>
        <w:t>(2), 101–104. https://doi.org/10.5093/clysa2018a15</w:t>
      </w:r>
    </w:p>
  </w:footnote>
  <w:footnote w:id="17">
    <w:p w14:paraId="0EC4905A" w14:textId="77777777" w:rsidR="00CA3231" w:rsidRDefault="001017FC">
      <w:pPr>
        <w:pBdr>
          <w:top w:val="nil"/>
          <w:left w:val="nil"/>
          <w:bottom w:val="nil"/>
          <w:right w:val="nil"/>
          <w:between w:val="nil"/>
        </w:pBdr>
        <w:jc w:val="both"/>
        <w:rPr>
          <w:rFonts w:ascii="Times New Roman" w:hAnsi="Times New Roman"/>
          <w:sz w:val="16"/>
          <w:szCs w:val="16"/>
        </w:rPr>
      </w:pPr>
      <w:r>
        <w:rPr>
          <w:vertAlign w:val="superscript"/>
        </w:rPr>
        <w:footnoteRef/>
      </w:r>
      <w:r>
        <w:rPr>
          <w:rFonts w:ascii="Times New Roman" w:hAnsi="Times New Roman"/>
          <w:sz w:val="16"/>
          <w:szCs w:val="16"/>
        </w:rPr>
        <w:t xml:space="preserve"> CDC. (2024). </w:t>
      </w:r>
      <w:r>
        <w:rPr>
          <w:rFonts w:ascii="Times New Roman" w:hAnsi="Times New Roman"/>
          <w:i/>
          <w:sz w:val="16"/>
          <w:szCs w:val="16"/>
        </w:rPr>
        <w:t>National Institute for Occupational Safety and Health</w:t>
      </w:r>
      <w:r>
        <w:rPr>
          <w:rFonts w:ascii="Times New Roman" w:hAnsi="Times New Roman"/>
          <w:sz w:val="16"/>
          <w:szCs w:val="16"/>
        </w:rPr>
        <w:t>. National Institute for Occupational Safety and Health (NIOSH). https://www.cdc.gov/niosh/index.html</w:t>
      </w:r>
    </w:p>
  </w:footnote>
  <w:footnote w:id="18">
    <w:p w14:paraId="0EC4905B" w14:textId="77777777" w:rsidR="00CA3231" w:rsidRDefault="001017FC">
      <w:pPr>
        <w:pBdr>
          <w:top w:val="nil"/>
          <w:left w:val="nil"/>
          <w:bottom w:val="nil"/>
          <w:right w:val="nil"/>
          <w:between w:val="nil"/>
        </w:pBdr>
        <w:rPr>
          <w:rFonts w:ascii="Times New Roman" w:hAnsi="Times New Roman"/>
          <w:sz w:val="16"/>
          <w:szCs w:val="16"/>
        </w:rPr>
      </w:pPr>
      <w:r>
        <w:rPr>
          <w:vertAlign w:val="superscript"/>
        </w:rPr>
        <w:footnoteRef/>
      </w:r>
      <w:r>
        <w:rPr>
          <w:rFonts w:ascii="Times New Roman" w:hAnsi="Times New Roman"/>
          <w:sz w:val="16"/>
          <w:szCs w:val="16"/>
        </w:rPr>
        <w:t xml:space="preserve"> </w:t>
      </w:r>
      <w:r>
        <w:rPr>
          <w:rFonts w:ascii="Times New Roman" w:hAnsi="Times New Roman"/>
          <w:i/>
          <w:sz w:val="16"/>
          <w:szCs w:val="16"/>
        </w:rPr>
        <w:t>FOLLETO DE INTERVENCIONES DEL PROYECTO DE LA UNIÓN EUROPEA TENTS</w:t>
      </w:r>
      <w:r>
        <w:rPr>
          <w:rFonts w:ascii="Times New Roman" w:hAnsi="Times New Roman"/>
          <w:sz w:val="16"/>
          <w:szCs w:val="16"/>
        </w:rPr>
        <w:t>. (n.d.). https://www.estss.org/uploads/2011/04/68Spanish_Interventions_brochure_FINAL.pdf</w:t>
      </w:r>
    </w:p>
  </w:footnote>
  <w:footnote w:id="19">
    <w:p w14:paraId="0EC4905C" w14:textId="77777777" w:rsidR="00CA3231" w:rsidRDefault="001017FC">
      <w:pPr>
        <w:pBdr>
          <w:top w:val="nil"/>
          <w:left w:val="nil"/>
          <w:bottom w:val="nil"/>
          <w:right w:val="nil"/>
          <w:between w:val="nil"/>
        </w:pBdr>
        <w:rPr>
          <w:rFonts w:ascii="Calibri" w:eastAsia="Calibri" w:hAnsi="Calibri" w:cs="Calibri"/>
          <w:sz w:val="20"/>
        </w:rPr>
      </w:pPr>
      <w:r>
        <w:rPr>
          <w:vertAlign w:val="superscript"/>
        </w:rPr>
        <w:footnoteRef/>
      </w:r>
      <w:r>
        <w:rPr>
          <w:rFonts w:ascii="Times New Roman" w:hAnsi="Times New Roman"/>
          <w:sz w:val="16"/>
          <w:szCs w:val="16"/>
        </w:rPr>
        <w:t xml:space="preserve"> </w:t>
      </w:r>
      <w:r>
        <w:rPr>
          <w:rFonts w:ascii="Times New Roman" w:hAnsi="Times New Roman"/>
          <w:i/>
          <w:sz w:val="16"/>
          <w:szCs w:val="16"/>
        </w:rPr>
        <w:t>Salud Mental y Apoyo Psicosocial en Emergencias (SMAPS)</w:t>
      </w:r>
      <w:r>
        <w:rPr>
          <w:rFonts w:ascii="Times New Roman" w:hAnsi="Times New Roman"/>
          <w:sz w:val="16"/>
          <w:szCs w:val="16"/>
        </w:rPr>
        <w:t>. (2024, Julio 12). Paho.org. https://www.paho.org/es/temas/salud-mental-apoyo-psicosocial-emergencias-smaps</w:t>
      </w:r>
    </w:p>
  </w:footnote>
  <w:footnote w:id="20">
    <w:p w14:paraId="0EC4905D" w14:textId="77777777" w:rsidR="00CA3231" w:rsidRDefault="001017FC">
      <w:pPr>
        <w:pBdr>
          <w:top w:val="nil"/>
          <w:left w:val="nil"/>
          <w:bottom w:val="nil"/>
          <w:right w:val="nil"/>
          <w:between w:val="nil"/>
        </w:pBdr>
        <w:jc w:val="both"/>
        <w:rPr>
          <w:rFonts w:ascii="Times New Roman" w:hAnsi="Times New Roman"/>
          <w:sz w:val="16"/>
          <w:szCs w:val="16"/>
        </w:rPr>
      </w:pPr>
      <w:r>
        <w:rPr>
          <w:vertAlign w:val="superscript"/>
        </w:rPr>
        <w:footnoteRef/>
      </w:r>
      <w:r>
        <w:rPr>
          <w:rFonts w:ascii="Times New Roman" w:hAnsi="Times New Roman"/>
          <w:sz w:val="16"/>
          <w:szCs w:val="16"/>
        </w:rPr>
        <w:t xml:space="preserve"> </w:t>
      </w:r>
      <w:r>
        <w:rPr>
          <w:rFonts w:ascii="Times New Roman" w:hAnsi="Times New Roman"/>
          <w:i/>
          <w:sz w:val="16"/>
          <w:szCs w:val="16"/>
        </w:rPr>
        <w:t>Modelo Integral de Atención a Víctimas</w:t>
      </w:r>
      <w:r>
        <w:rPr>
          <w:rFonts w:ascii="Times New Roman" w:hAnsi="Times New Roman"/>
          <w:sz w:val="16"/>
          <w:szCs w:val="16"/>
        </w:rPr>
        <w:t>. (n.d.). https://www.gob.mx/cms/uploads/attachment/file/127943/MIAVed..pdf</w:t>
      </w:r>
    </w:p>
  </w:footnote>
  <w:footnote w:id="21">
    <w:p w14:paraId="0EC4905E" w14:textId="77777777" w:rsidR="00CA3231" w:rsidRDefault="001017FC">
      <w:pPr>
        <w:pBdr>
          <w:top w:val="nil"/>
          <w:left w:val="nil"/>
          <w:bottom w:val="nil"/>
          <w:right w:val="nil"/>
          <w:between w:val="nil"/>
        </w:pBdr>
        <w:jc w:val="both"/>
        <w:rPr>
          <w:rFonts w:ascii="Times New Roman" w:hAnsi="Times New Roman"/>
          <w:sz w:val="16"/>
          <w:szCs w:val="16"/>
        </w:rPr>
      </w:pPr>
      <w:r>
        <w:rPr>
          <w:vertAlign w:val="superscript"/>
        </w:rPr>
        <w:footnoteRef/>
      </w:r>
      <w:r>
        <w:rPr>
          <w:rFonts w:ascii="Times New Roman" w:hAnsi="Times New Roman"/>
          <w:sz w:val="16"/>
          <w:szCs w:val="16"/>
        </w:rPr>
        <w:t xml:space="preserve"> Ajuntament de Barcelona. Plan de salud mentalde Barcelona2016-2022</w:t>
      </w:r>
    </w:p>
  </w:footnote>
  <w:footnote w:id="22">
    <w:p w14:paraId="0EC4905F" w14:textId="77777777" w:rsidR="00CA3231" w:rsidRDefault="001017FC">
      <w:pPr>
        <w:pBdr>
          <w:top w:val="nil"/>
          <w:left w:val="nil"/>
          <w:bottom w:val="nil"/>
          <w:right w:val="nil"/>
          <w:between w:val="nil"/>
        </w:pBdr>
        <w:rPr>
          <w:rFonts w:ascii="Times New Roman" w:hAnsi="Times New Roman"/>
          <w:sz w:val="16"/>
          <w:szCs w:val="16"/>
        </w:rPr>
      </w:pPr>
      <w:r>
        <w:rPr>
          <w:vertAlign w:val="superscript"/>
        </w:rPr>
        <w:footnoteRef/>
      </w:r>
      <w:r>
        <w:rPr>
          <w:rFonts w:ascii="Times New Roman" w:hAnsi="Times New Roman"/>
          <w:sz w:val="16"/>
          <w:szCs w:val="16"/>
        </w:rPr>
        <w:t xml:space="preserve"> </w:t>
      </w:r>
      <w:r>
        <w:rPr>
          <w:rFonts w:ascii="Times New Roman" w:hAnsi="Times New Roman"/>
          <w:i/>
          <w:sz w:val="16"/>
          <w:szCs w:val="16"/>
        </w:rPr>
        <w:t>Un Programa en Canadá abre brecha para apoyar a personas en crisis de salud mental</w:t>
      </w:r>
      <w:r>
        <w:rPr>
          <w:rFonts w:ascii="Times New Roman" w:hAnsi="Times New Roman"/>
          <w:sz w:val="16"/>
          <w:szCs w:val="16"/>
        </w:rPr>
        <w:t>. (2021, December 2). Human Rights Watch. https://www.hrw.org/es/news/2021/12/02/un-programa-en-canada-abre-brecha-para-apoyar-personas-en-crisis-de-salud-mental</w:t>
      </w:r>
    </w:p>
  </w:footnote>
  <w:footnote w:id="23">
    <w:p w14:paraId="0EC49060" w14:textId="77777777" w:rsidR="00CA3231" w:rsidRDefault="001017FC">
      <w:pPr>
        <w:pBdr>
          <w:top w:val="nil"/>
          <w:left w:val="nil"/>
          <w:bottom w:val="nil"/>
          <w:right w:val="nil"/>
          <w:between w:val="nil"/>
        </w:pBdr>
        <w:rPr>
          <w:rFonts w:ascii="Times New Roman" w:hAnsi="Times New Roman"/>
          <w:sz w:val="16"/>
          <w:szCs w:val="16"/>
        </w:rPr>
      </w:pPr>
      <w:r>
        <w:rPr>
          <w:vertAlign w:val="superscript"/>
        </w:rPr>
        <w:footnoteRef/>
      </w:r>
      <w:r>
        <w:rPr>
          <w:rFonts w:ascii="Times New Roman" w:hAnsi="Times New Roman"/>
          <w:sz w:val="16"/>
          <w:szCs w:val="16"/>
        </w:rPr>
        <w:t xml:space="preserve"> </w:t>
      </w:r>
      <w:r>
        <w:rPr>
          <w:rFonts w:ascii="Times New Roman" w:hAnsi="Times New Roman"/>
          <w:i/>
          <w:sz w:val="16"/>
          <w:szCs w:val="16"/>
        </w:rPr>
        <w:t>Estrategia</w:t>
      </w:r>
      <w:r>
        <w:rPr>
          <w:rFonts w:ascii="Times New Roman" w:hAnsi="Times New Roman"/>
          <w:sz w:val="16"/>
          <w:szCs w:val="16"/>
        </w:rPr>
        <w:t>. (n.d.). https://www.minsalud.gov.co/sites/rid/Lists/BibliotecaDigital/RIDE/DE/PS/estrategia-atencion-psicosocial-victimas-conflicto-armado-papsivi.pdf</w:t>
      </w:r>
    </w:p>
    <w:p w14:paraId="0EC49061" w14:textId="77777777" w:rsidR="00CA3231" w:rsidRDefault="001017FC">
      <w:pPr>
        <w:pBdr>
          <w:top w:val="nil"/>
          <w:left w:val="nil"/>
          <w:bottom w:val="nil"/>
          <w:right w:val="nil"/>
          <w:between w:val="nil"/>
        </w:pBdr>
        <w:rPr>
          <w:rFonts w:ascii="Calibri" w:eastAsia="Calibri" w:hAnsi="Calibri" w:cs="Calibri"/>
          <w:sz w:val="20"/>
        </w:rPr>
      </w:pPr>
      <w:r>
        <w:rPr>
          <w:rFonts w:ascii="Calibri" w:eastAsia="Calibri" w:hAnsi="Calibri" w:cs="Calibri"/>
          <w:sz w:val="20"/>
        </w:rPr>
        <w:t>‌</w:t>
      </w:r>
    </w:p>
    <w:p w14:paraId="0EC49062" w14:textId="77777777" w:rsidR="00CA3231" w:rsidRDefault="00CA3231">
      <w:pPr>
        <w:pBdr>
          <w:top w:val="nil"/>
          <w:left w:val="nil"/>
          <w:bottom w:val="nil"/>
          <w:right w:val="nil"/>
          <w:between w:val="nil"/>
        </w:pBdr>
        <w:rPr>
          <w:rFonts w:ascii="Calibri" w:eastAsia="Calibri" w:hAnsi="Calibri" w:cs="Calibri"/>
          <w:sz w:val="20"/>
        </w:rPr>
      </w:pPr>
    </w:p>
  </w:footnote>
  <w:footnote w:id="24">
    <w:p w14:paraId="0EC49063" w14:textId="77777777" w:rsidR="00CA3231" w:rsidRDefault="001017FC">
      <w:pPr>
        <w:jc w:val="both"/>
        <w:rPr>
          <w:rFonts w:ascii="Times New Roman" w:hAnsi="Times New Roman"/>
          <w:sz w:val="16"/>
          <w:szCs w:val="16"/>
        </w:rPr>
      </w:pPr>
      <w:r>
        <w:rPr>
          <w:vertAlign w:val="superscript"/>
        </w:rPr>
        <w:footnoteRef/>
      </w:r>
      <w:r>
        <w:rPr>
          <w:rFonts w:ascii="Times New Roman" w:hAnsi="Times New Roman"/>
          <w:sz w:val="16"/>
          <w:szCs w:val="16"/>
        </w:rPr>
        <w:t xml:space="preserve"> ODS (2024, Enero 30). </w:t>
      </w:r>
      <w:r>
        <w:rPr>
          <w:rFonts w:ascii="Times New Roman" w:hAnsi="Times New Roman"/>
          <w:i/>
          <w:sz w:val="16"/>
          <w:szCs w:val="16"/>
        </w:rPr>
        <w:t>Salud - Desarrollo Sostenible</w:t>
      </w:r>
      <w:r>
        <w:rPr>
          <w:rFonts w:ascii="Times New Roman" w:hAnsi="Times New Roman"/>
          <w:sz w:val="16"/>
          <w:szCs w:val="16"/>
        </w:rPr>
        <w:t>. Desarrollo Sostenible. https://www.un.org/sustainabledevelopment/es/health/</w:t>
      </w:r>
    </w:p>
  </w:footnote>
  <w:footnote w:id="25">
    <w:p w14:paraId="0EC49064" w14:textId="77777777" w:rsidR="00CA3231" w:rsidRDefault="001017FC">
      <w:pPr>
        <w:jc w:val="both"/>
        <w:rPr>
          <w:rFonts w:ascii="Times New Roman" w:hAnsi="Times New Roman"/>
          <w:sz w:val="16"/>
          <w:szCs w:val="16"/>
        </w:rPr>
      </w:pPr>
      <w:r>
        <w:rPr>
          <w:vertAlign w:val="superscript"/>
        </w:rPr>
        <w:footnoteRef/>
      </w:r>
      <w:r>
        <w:rPr>
          <w:rFonts w:ascii="Times New Roman" w:hAnsi="Times New Roman"/>
          <w:sz w:val="16"/>
          <w:szCs w:val="16"/>
        </w:rPr>
        <w:t xml:space="preserve"> ODS (2024, Enero 26). </w:t>
      </w:r>
      <w:r>
        <w:rPr>
          <w:rFonts w:ascii="Times New Roman" w:hAnsi="Times New Roman"/>
          <w:i/>
          <w:sz w:val="16"/>
          <w:szCs w:val="16"/>
        </w:rPr>
        <w:t>Crecimiento económico - Desarrollo Sostenible</w:t>
      </w:r>
      <w:r>
        <w:rPr>
          <w:rFonts w:ascii="Times New Roman" w:hAnsi="Times New Roman"/>
          <w:sz w:val="16"/>
          <w:szCs w:val="16"/>
        </w:rPr>
        <w:t>. Desarrollo Sostenible. https://www.un.org/sustainabledevelopment/es/economic-growth/+</w:t>
      </w:r>
    </w:p>
  </w:footnote>
  <w:footnote w:id="26">
    <w:p w14:paraId="0EC49065" w14:textId="77777777" w:rsidR="00CA3231" w:rsidRDefault="001017FC">
      <w:pPr>
        <w:jc w:val="both"/>
        <w:rPr>
          <w:rFonts w:ascii="Times New Roman" w:hAnsi="Times New Roman"/>
          <w:sz w:val="16"/>
          <w:szCs w:val="16"/>
        </w:rPr>
      </w:pPr>
      <w:r>
        <w:rPr>
          <w:vertAlign w:val="superscript"/>
        </w:rPr>
        <w:footnoteRef/>
      </w:r>
      <w:r>
        <w:rPr>
          <w:rFonts w:ascii="Times New Roman" w:hAnsi="Times New Roman"/>
          <w:sz w:val="16"/>
          <w:szCs w:val="16"/>
        </w:rPr>
        <w:t xml:space="preserve"> ODS. (2024, Enero 26). </w:t>
      </w:r>
      <w:r>
        <w:rPr>
          <w:rFonts w:ascii="Times New Roman" w:hAnsi="Times New Roman"/>
          <w:i/>
          <w:sz w:val="16"/>
          <w:szCs w:val="16"/>
        </w:rPr>
        <w:t>Reducir las desigualdades entre países y dentro de ellos - Desarrollo Sostenible</w:t>
      </w:r>
      <w:r>
        <w:rPr>
          <w:rFonts w:ascii="Times New Roman" w:hAnsi="Times New Roman"/>
          <w:sz w:val="16"/>
          <w:szCs w:val="16"/>
        </w:rPr>
        <w:t>. Desarrollo Sostenible. https://www.un.org/sustainabledevelopment/es/inequality/</w:t>
      </w:r>
    </w:p>
  </w:footnote>
  <w:footnote w:id="27">
    <w:p w14:paraId="0EC49066" w14:textId="77777777" w:rsidR="00CA3231" w:rsidRDefault="001017FC">
      <w:pPr>
        <w:rPr>
          <w:rFonts w:ascii="Times New Roman" w:hAnsi="Times New Roman"/>
          <w:sz w:val="16"/>
          <w:szCs w:val="16"/>
        </w:rPr>
      </w:pPr>
      <w:r>
        <w:rPr>
          <w:vertAlign w:val="superscript"/>
        </w:rPr>
        <w:footnoteRef/>
      </w:r>
      <w:r>
        <w:rPr>
          <w:rFonts w:ascii="Times New Roman" w:hAnsi="Times New Roman"/>
          <w:sz w:val="16"/>
          <w:szCs w:val="16"/>
        </w:rPr>
        <w:t xml:space="preserve"> ODS  (2024, Enero 26). </w:t>
      </w:r>
      <w:r>
        <w:rPr>
          <w:rFonts w:ascii="Times New Roman" w:hAnsi="Times New Roman"/>
          <w:i/>
          <w:sz w:val="16"/>
          <w:szCs w:val="16"/>
        </w:rPr>
        <w:t>Ciudades - Desarrollo Sostenible</w:t>
      </w:r>
      <w:r>
        <w:rPr>
          <w:rFonts w:ascii="Times New Roman" w:hAnsi="Times New Roman"/>
          <w:sz w:val="16"/>
          <w:szCs w:val="16"/>
        </w:rPr>
        <w:t>. Desarrollo Sostenible. https://www.un.org/sustainabledevelopment/es/cities/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49032" w14:textId="77777777" w:rsidR="00CA3231" w:rsidRDefault="00CA3231">
    <w:pPr>
      <w:widowControl w:val="0"/>
      <w:pBdr>
        <w:top w:val="nil"/>
        <w:left w:val="nil"/>
        <w:bottom w:val="nil"/>
        <w:right w:val="nil"/>
        <w:between w:val="nil"/>
      </w:pBdr>
      <w:spacing w:line="276" w:lineRule="auto"/>
      <w:rPr>
        <w:sz w:val="22"/>
        <w:szCs w:val="22"/>
      </w:rPr>
    </w:pPr>
  </w:p>
  <w:tbl>
    <w:tblPr>
      <w:tblStyle w:val="af1"/>
      <w:tblW w:w="8830" w:type="dxa"/>
      <w:tblInd w:w="0" w:type="dxa"/>
      <w:tblLayout w:type="fixed"/>
      <w:tblLook w:val="0000" w:firstRow="0" w:lastRow="0" w:firstColumn="0" w:lastColumn="0" w:noHBand="0" w:noVBand="0"/>
    </w:tblPr>
    <w:tblGrid>
      <w:gridCol w:w="2361"/>
      <w:gridCol w:w="4235"/>
      <w:gridCol w:w="2234"/>
    </w:tblGrid>
    <w:tr w:rsidR="00CA3231" w14:paraId="0EC49036" w14:textId="77777777">
      <w:trPr>
        <w:trHeight w:val="454"/>
      </w:trPr>
      <w:tc>
        <w:tcPr>
          <w:tcW w:w="2361" w:type="dxa"/>
          <w:vMerge w:val="restart"/>
          <w:tcBorders>
            <w:top w:val="single" w:sz="4" w:space="0" w:color="000000"/>
            <w:left w:val="single" w:sz="4" w:space="0" w:color="000000"/>
            <w:right w:val="single" w:sz="4" w:space="0" w:color="000000"/>
          </w:tcBorders>
          <w:vAlign w:val="center"/>
        </w:tcPr>
        <w:p w14:paraId="0EC49033" w14:textId="77777777" w:rsidR="00CA3231" w:rsidRDefault="00CA3231">
          <w:pPr>
            <w:jc w:val="center"/>
            <w:rPr>
              <w:sz w:val="16"/>
              <w:szCs w:val="16"/>
            </w:rPr>
          </w:pPr>
        </w:p>
      </w:tc>
      <w:tc>
        <w:tcPr>
          <w:tcW w:w="4235" w:type="dxa"/>
          <w:tcBorders>
            <w:top w:val="single" w:sz="4" w:space="0" w:color="000000"/>
            <w:left w:val="nil"/>
            <w:bottom w:val="single" w:sz="4" w:space="0" w:color="000000"/>
            <w:right w:val="single" w:sz="4" w:space="0" w:color="000000"/>
          </w:tcBorders>
          <w:vAlign w:val="center"/>
        </w:tcPr>
        <w:p w14:paraId="0EC49034" w14:textId="77777777" w:rsidR="00CA3231" w:rsidRDefault="001017FC">
          <w:pPr>
            <w:jc w:val="center"/>
            <w:rPr>
              <w:sz w:val="18"/>
              <w:szCs w:val="18"/>
            </w:rPr>
          </w:pPr>
          <w:r>
            <w:rPr>
              <w:sz w:val="18"/>
              <w:szCs w:val="18"/>
            </w:rPr>
            <w:t>PROCESO GESTIÓN NORMATIVA</w:t>
          </w:r>
        </w:p>
      </w:tc>
      <w:tc>
        <w:tcPr>
          <w:tcW w:w="2234" w:type="dxa"/>
          <w:tcBorders>
            <w:top w:val="single" w:sz="4" w:space="0" w:color="000000"/>
            <w:left w:val="nil"/>
            <w:bottom w:val="single" w:sz="4" w:space="0" w:color="000000"/>
            <w:right w:val="single" w:sz="4" w:space="0" w:color="000000"/>
          </w:tcBorders>
          <w:vAlign w:val="center"/>
        </w:tcPr>
        <w:p w14:paraId="0EC49035" w14:textId="77777777" w:rsidR="00CA3231" w:rsidRDefault="001017FC">
          <w:pPr>
            <w:rPr>
              <w:sz w:val="16"/>
              <w:szCs w:val="16"/>
            </w:rPr>
          </w:pPr>
          <w:r>
            <w:rPr>
              <w:sz w:val="16"/>
              <w:szCs w:val="16"/>
            </w:rPr>
            <w:t>CÓDIGO</w:t>
          </w:r>
          <w:r>
            <w:rPr>
              <w:color w:val="3366FF"/>
              <w:sz w:val="16"/>
              <w:szCs w:val="16"/>
            </w:rPr>
            <w:t xml:space="preserve">: </w:t>
          </w:r>
          <w:r>
            <w:rPr>
              <w:sz w:val="16"/>
              <w:szCs w:val="16"/>
            </w:rPr>
            <w:t>GNV-FO-001</w:t>
          </w:r>
        </w:p>
      </w:tc>
    </w:tr>
    <w:tr w:rsidR="00CA3231" w14:paraId="0EC4903A" w14:textId="77777777">
      <w:trPr>
        <w:trHeight w:val="454"/>
      </w:trPr>
      <w:tc>
        <w:tcPr>
          <w:tcW w:w="2361" w:type="dxa"/>
          <w:vMerge/>
          <w:tcBorders>
            <w:top w:val="single" w:sz="4" w:space="0" w:color="000000"/>
            <w:left w:val="single" w:sz="4" w:space="0" w:color="000000"/>
            <w:right w:val="single" w:sz="4" w:space="0" w:color="000000"/>
          </w:tcBorders>
          <w:vAlign w:val="center"/>
        </w:tcPr>
        <w:p w14:paraId="0EC49037" w14:textId="77777777" w:rsidR="00CA3231" w:rsidRDefault="00CA3231">
          <w:pPr>
            <w:widowControl w:val="0"/>
            <w:pBdr>
              <w:top w:val="nil"/>
              <w:left w:val="nil"/>
              <w:bottom w:val="nil"/>
              <w:right w:val="nil"/>
              <w:between w:val="nil"/>
            </w:pBdr>
            <w:spacing w:line="276" w:lineRule="auto"/>
            <w:rPr>
              <w:sz w:val="16"/>
              <w:szCs w:val="16"/>
            </w:rPr>
          </w:pPr>
        </w:p>
      </w:tc>
      <w:tc>
        <w:tcPr>
          <w:tcW w:w="4235" w:type="dxa"/>
          <w:vMerge w:val="restart"/>
          <w:tcBorders>
            <w:top w:val="single" w:sz="4" w:space="0" w:color="000000"/>
            <w:left w:val="nil"/>
            <w:right w:val="single" w:sz="4" w:space="0" w:color="000000"/>
          </w:tcBorders>
          <w:vAlign w:val="center"/>
        </w:tcPr>
        <w:p w14:paraId="0EC49038" w14:textId="77777777" w:rsidR="00CA3231" w:rsidRDefault="001017FC">
          <w:pPr>
            <w:jc w:val="center"/>
            <w:rPr>
              <w:sz w:val="20"/>
            </w:rPr>
          </w:pPr>
          <w:r>
            <w:rPr>
              <w:sz w:val="20"/>
            </w:rPr>
            <w:t>PRESENTACIÓN PROYECTOS DE ACUERDO</w:t>
          </w:r>
        </w:p>
      </w:tc>
      <w:tc>
        <w:tcPr>
          <w:tcW w:w="2234" w:type="dxa"/>
          <w:tcBorders>
            <w:top w:val="single" w:sz="4" w:space="0" w:color="000000"/>
            <w:left w:val="nil"/>
            <w:bottom w:val="single" w:sz="4" w:space="0" w:color="000000"/>
            <w:right w:val="single" w:sz="4" w:space="0" w:color="000000"/>
          </w:tcBorders>
          <w:vAlign w:val="center"/>
        </w:tcPr>
        <w:p w14:paraId="0EC49039" w14:textId="77777777" w:rsidR="00CA3231" w:rsidRDefault="001017FC">
          <w:pPr>
            <w:rPr>
              <w:sz w:val="16"/>
              <w:szCs w:val="16"/>
            </w:rPr>
          </w:pPr>
          <w:r>
            <w:rPr>
              <w:sz w:val="16"/>
              <w:szCs w:val="16"/>
            </w:rPr>
            <w:t>VERSIÓN:    02</w:t>
          </w:r>
        </w:p>
      </w:tc>
    </w:tr>
    <w:tr w:rsidR="00CA3231" w14:paraId="0EC4903E" w14:textId="77777777">
      <w:trPr>
        <w:trHeight w:val="454"/>
      </w:trPr>
      <w:tc>
        <w:tcPr>
          <w:tcW w:w="2361" w:type="dxa"/>
          <w:vMerge/>
          <w:tcBorders>
            <w:top w:val="single" w:sz="4" w:space="0" w:color="000000"/>
            <w:left w:val="single" w:sz="4" w:space="0" w:color="000000"/>
            <w:right w:val="single" w:sz="4" w:space="0" w:color="000000"/>
          </w:tcBorders>
          <w:vAlign w:val="center"/>
        </w:tcPr>
        <w:p w14:paraId="0EC4903B" w14:textId="77777777" w:rsidR="00CA3231" w:rsidRDefault="00CA3231">
          <w:pPr>
            <w:widowControl w:val="0"/>
            <w:pBdr>
              <w:top w:val="nil"/>
              <w:left w:val="nil"/>
              <w:bottom w:val="nil"/>
              <w:right w:val="nil"/>
              <w:between w:val="nil"/>
            </w:pBdr>
            <w:spacing w:line="276" w:lineRule="auto"/>
            <w:rPr>
              <w:sz w:val="16"/>
              <w:szCs w:val="16"/>
            </w:rPr>
          </w:pPr>
        </w:p>
      </w:tc>
      <w:tc>
        <w:tcPr>
          <w:tcW w:w="4235" w:type="dxa"/>
          <w:vMerge/>
          <w:tcBorders>
            <w:top w:val="single" w:sz="4" w:space="0" w:color="000000"/>
            <w:left w:val="nil"/>
            <w:right w:val="single" w:sz="4" w:space="0" w:color="000000"/>
          </w:tcBorders>
          <w:vAlign w:val="center"/>
        </w:tcPr>
        <w:p w14:paraId="0EC4903C" w14:textId="77777777" w:rsidR="00CA3231" w:rsidRDefault="00CA3231">
          <w:pPr>
            <w:widowControl w:val="0"/>
            <w:pBdr>
              <w:top w:val="nil"/>
              <w:left w:val="nil"/>
              <w:bottom w:val="nil"/>
              <w:right w:val="nil"/>
              <w:between w:val="nil"/>
            </w:pBdr>
            <w:spacing w:line="276" w:lineRule="auto"/>
            <w:rPr>
              <w:sz w:val="16"/>
              <w:szCs w:val="16"/>
            </w:rPr>
          </w:pPr>
        </w:p>
      </w:tc>
      <w:tc>
        <w:tcPr>
          <w:tcW w:w="2234" w:type="dxa"/>
          <w:tcBorders>
            <w:top w:val="single" w:sz="4" w:space="0" w:color="000000"/>
            <w:left w:val="nil"/>
            <w:bottom w:val="single" w:sz="4" w:space="0" w:color="000000"/>
            <w:right w:val="single" w:sz="4" w:space="0" w:color="000000"/>
          </w:tcBorders>
          <w:vAlign w:val="center"/>
        </w:tcPr>
        <w:p w14:paraId="0EC4903D" w14:textId="77777777" w:rsidR="00CA3231" w:rsidRDefault="001017FC">
          <w:pPr>
            <w:rPr>
              <w:sz w:val="16"/>
              <w:szCs w:val="16"/>
            </w:rPr>
          </w:pPr>
          <w:r>
            <w:rPr>
              <w:sz w:val="16"/>
              <w:szCs w:val="16"/>
            </w:rPr>
            <w:t>FECHA: 14-Nov-2019</w:t>
          </w:r>
        </w:p>
      </w:tc>
    </w:tr>
  </w:tbl>
  <w:p w14:paraId="0EC4903F" w14:textId="77777777" w:rsidR="00CA3231" w:rsidRDefault="001017FC">
    <w:pPr>
      <w:pBdr>
        <w:top w:val="nil"/>
        <w:left w:val="nil"/>
        <w:bottom w:val="nil"/>
        <w:right w:val="nil"/>
        <w:between w:val="nil"/>
      </w:pBdr>
      <w:tabs>
        <w:tab w:val="center" w:pos="4252"/>
        <w:tab w:val="right" w:pos="8504"/>
      </w:tabs>
    </w:pPr>
    <w:r>
      <w:rPr>
        <w:noProof/>
        <w:lang w:val="es-419" w:eastAsia="es-419"/>
      </w:rPr>
      <w:drawing>
        <wp:anchor distT="0" distB="0" distL="0" distR="0" simplePos="0" relativeHeight="251658240" behindDoc="1" locked="0" layoutInCell="1" hidden="0" allowOverlap="1" wp14:anchorId="0EC49048" wp14:editId="0EC49049">
          <wp:simplePos x="0" y="0"/>
          <wp:positionH relativeFrom="column">
            <wp:posOffset>441325</wp:posOffset>
          </wp:positionH>
          <wp:positionV relativeFrom="paragraph">
            <wp:posOffset>-890263</wp:posOffset>
          </wp:positionV>
          <wp:extent cx="752475" cy="885825"/>
          <wp:effectExtent l="0" t="0" r="0" b="0"/>
          <wp:wrapNone/>
          <wp:docPr id="1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C71966"/>
    <w:multiLevelType w:val="multilevel"/>
    <w:tmpl w:val="427032A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25AD0968"/>
    <w:multiLevelType w:val="multilevel"/>
    <w:tmpl w:val="12EE81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C7C3FCF"/>
    <w:multiLevelType w:val="multilevel"/>
    <w:tmpl w:val="3C4E0B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A726247"/>
    <w:multiLevelType w:val="multilevel"/>
    <w:tmpl w:val="195A0CD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15:restartNumberingAfterBreak="0">
    <w:nsid w:val="3D342B2A"/>
    <w:multiLevelType w:val="multilevel"/>
    <w:tmpl w:val="3F02953E"/>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4C687497"/>
    <w:multiLevelType w:val="multilevel"/>
    <w:tmpl w:val="295859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23846F0"/>
    <w:multiLevelType w:val="multilevel"/>
    <w:tmpl w:val="5EEE3ED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7" w15:restartNumberingAfterBreak="0">
    <w:nsid w:val="7B442162"/>
    <w:multiLevelType w:val="multilevel"/>
    <w:tmpl w:val="D772C6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3"/>
  </w:num>
  <w:num w:numId="3">
    <w:abstractNumId w:val="7"/>
  </w:num>
  <w:num w:numId="4">
    <w:abstractNumId w:val="6"/>
  </w:num>
  <w:num w:numId="5">
    <w:abstractNumId w:val="2"/>
  </w:num>
  <w:num w:numId="6">
    <w:abstractNumId w:val="0"/>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3231"/>
    <w:rsid w:val="001017FC"/>
    <w:rsid w:val="003F31F2"/>
    <w:rsid w:val="00A454CB"/>
    <w:rsid w:val="00BF3013"/>
    <w:rsid w:val="00CA323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48EF8"/>
  <w15:docId w15:val="{2159CDB8-2A82-4E64-8CBA-FD14C09D5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ES"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6438"/>
    <w:rPr>
      <w:rFonts w:eastAsia="Times New Roman" w:cs="Times New Roman"/>
      <w:color w:val="000000"/>
      <w:szCs w:val="20"/>
      <w:lang w:eastAsia="es-ES"/>
    </w:rPr>
  </w:style>
  <w:style w:type="paragraph" w:styleId="Ttulo1">
    <w:name w:val="heading 1"/>
    <w:basedOn w:val="Normal"/>
    <w:next w:val="Normal"/>
    <w:link w:val="Ttulo1Car"/>
    <w:uiPriority w:val="9"/>
    <w:qFormat/>
    <w:rsid w:val="003B6438"/>
    <w:pPr>
      <w:keepNext/>
      <w:jc w:val="center"/>
      <w:outlineLvl w:val="0"/>
    </w:pPr>
    <w:rPr>
      <w:rFonts w:ascii="Times New Roman" w:hAnsi="Times New Roman"/>
      <w:color w:val="auto"/>
      <w:lang w:val="es-MX"/>
    </w:rPr>
  </w:style>
  <w:style w:type="paragraph" w:styleId="Ttulo2">
    <w:name w:val="heading 2"/>
    <w:basedOn w:val="Normal"/>
    <w:next w:val="Normal"/>
    <w:link w:val="Ttulo2Car"/>
    <w:uiPriority w:val="9"/>
    <w:semiHidden/>
    <w:unhideWhenUsed/>
    <w:qFormat/>
    <w:rsid w:val="003B6438"/>
    <w:pPr>
      <w:keepNext/>
      <w:outlineLvl w:val="1"/>
    </w:pPr>
    <w:rPr>
      <w:rFonts w:ascii="Times New Roman" w:hAnsi="Times New Roman"/>
      <w:color w:val="auto"/>
      <w:lang w:val="es-MX"/>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link w:val="Ttulo4Car"/>
    <w:uiPriority w:val="9"/>
    <w:semiHidden/>
    <w:unhideWhenUsed/>
    <w:qFormat/>
    <w:rsid w:val="003B6438"/>
    <w:pPr>
      <w:keepNext/>
      <w:spacing w:before="240" w:after="60"/>
      <w:outlineLvl w:val="3"/>
    </w:pPr>
    <w:rPr>
      <w:rFonts w:ascii="Times New Roman" w:hAnsi="Times New Roman"/>
      <w:b/>
      <w:bCs/>
      <w:color w:val="auto"/>
      <w:sz w:val="28"/>
      <w:szCs w:val="28"/>
    </w:rPr>
  </w:style>
  <w:style w:type="paragraph" w:styleId="Ttulo5">
    <w:name w:val="heading 5"/>
    <w:basedOn w:val="Normal"/>
    <w:next w:val="Normal"/>
    <w:link w:val="Ttulo5Car"/>
    <w:uiPriority w:val="9"/>
    <w:semiHidden/>
    <w:unhideWhenUsed/>
    <w:qFormat/>
    <w:rsid w:val="003B6438"/>
    <w:pPr>
      <w:keepNext/>
      <w:keepLines/>
      <w:spacing w:before="200"/>
      <w:outlineLvl w:val="4"/>
    </w:pPr>
    <w:rPr>
      <w:rFonts w:ascii="Cambria" w:hAnsi="Cambria"/>
      <w:color w:val="243F60"/>
    </w:rPr>
  </w:style>
  <w:style w:type="paragraph" w:styleId="Ttulo6">
    <w:name w:val="heading 6"/>
    <w:basedOn w:val="Normal"/>
    <w:next w:val="Normal"/>
    <w:uiPriority w:val="9"/>
    <w:semiHidden/>
    <w:unhideWhenUsed/>
    <w:qFormat/>
    <w:pPr>
      <w:keepNext/>
      <w:keepLines/>
      <w:spacing w:before="200" w:after="40"/>
      <w:outlineLvl w:val="5"/>
    </w:pPr>
    <w:rPr>
      <w:b/>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character" w:customStyle="1" w:styleId="Ttulo1Car">
    <w:name w:val="Título 1 Car"/>
    <w:basedOn w:val="Fuentedeprrafopredeter"/>
    <w:link w:val="Ttulo1"/>
    <w:uiPriority w:val="99"/>
    <w:rsid w:val="003B6438"/>
    <w:rPr>
      <w:rFonts w:ascii="Times New Roman" w:eastAsia="Times New Roman" w:hAnsi="Times New Roman" w:cs="Times New Roman"/>
      <w:sz w:val="24"/>
      <w:szCs w:val="20"/>
      <w:lang w:val="es-MX" w:eastAsia="es-ES"/>
    </w:rPr>
  </w:style>
  <w:style w:type="character" w:customStyle="1" w:styleId="Ttulo2Car">
    <w:name w:val="Título 2 Car"/>
    <w:basedOn w:val="Fuentedeprrafopredeter"/>
    <w:link w:val="Ttulo2"/>
    <w:uiPriority w:val="99"/>
    <w:rsid w:val="003B6438"/>
    <w:rPr>
      <w:rFonts w:ascii="Times New Roman" w:eastAsia="Times New Roman" w:hAnsi="Times New Roman" w:cs="Times New Roman"/>
      <w:sz w:val="24"/>
      <w:szCs w:val="20"/>
      <w:lang w:val="es-MX" w:eastAsia="es-ES"/>
    </w:rPr>
  </w:style>
  <w:style w:type="character" w:customStyle="1" w:styleId="Ttulo4Car">
    <w:name w:val="Título 4 Car"/>
    <w:basedOn w:val="Fuentedeprrafopredeter"/>
    <w:link w:val="Ttulo4"/>
    <w:uiPriority w:val="99"/>
    <w:rsid w:val="003B6438"/>
    <w:rPr>
      <w:rFonts w:ascii="Times New Roman" w:eastAsia="Times New Roman" w:hAnsi="Times New Roman" w:cs="Times New Roman"/>
      <w:b/>
      <w:bCs/>
      <w:sz w:val="28"/>
      <w:szCs w:val="28"/>
      <w:lang w:val="es-ES" w:eastAsia="es-ES"/>
    </w:rPr>
  </w:style>
  <w:style w:type="character" w:customStyle="1" w:styleId="Ttulo5Car">
    <w:name w:val="Título 5 Car"/>
    <w:basedOn w:val="Fuentedeprrafopredeter"/>
    <w:link w:val="Ttulo5"/>
    <w:uiPriority w:val="99"/>
    <w:rsid w:val="003B6438"/>
    <w:rPr>
      <w:rFonts w:ascii="Cambria" w:eastAsia="Times New Roman" w:hAnsi="Cambria" w:cs="Times New Roman"/>
      <w:color w:val="243F60"/>
      <w:sz w:val="24"/>
      <w:szCs w:val="20"/>
      <w:lang w:val="es-ES" w:eastAsia="es-ES"/>
    </w:rPr>
  </w:style>
  <w:style w:type="paragraph" w:styleId="Encabezado">
    <w:name w:val="header"/>
    <w:basedOn w:val="Normal"/>
    <w:link w:val="EncabezadoCar"/>
    <w:uiPriority w:val="99"/>
    <w:rsid w:val="003B6438"/>
    <w:pPr>
      <w:tabs>
        <w:tab w:val="center" w:pos="4252"/>
        <w:tab w:val="right" w:pos="8504"/>
      </w:tabs>
    </w:pPr>
  </w:style>
  <w:style w:type="character" w:customStyle="1" w:styleId="EncabezadoCar">
    <w:name w:val="Encabezado Car"/>
    <w:basedOn w:val="Fuentedeprrafopredeter"/>
    <w:link w:val="Encabezado"/>
    <w:uiPriority w:val="99"/>
    <w:rsid w:val="003B6438"/>
    <w:rPr>
      <w:rFonts w:ascii="Arial" w:eastAsia="Times New Roman" w:hAnsi="Arial" w:cs="Times New Roman"/>
      <w:color w:val="000000"/>
      <w:sz w:val="24"/>
      <w:szCs w:val="20"/>
      <w:lang w:val="es-ES" w:eastAsia="es-ES"/>
    </w:rPr>
  </w:style>
  <w:style w:type="paragraph" w:styleId="Piedepgina">
    <w:name w:val="footer"/>
    <w:basedOn w:val="Normal"/>
    <w:link w:val="PiedepginaCar"/>
    <w:rsid w:val="003B6438"/>
    <w:pPr>
      <w:tabs>
        <w:tab w:val="center" w:pos="4252"/>
        <w:tab w:val="right" w:pos="8504"/>
      </w:tabs>
    </w:pPr>
  </w:style>
  <w:style w:type="character" w:customStyle="1" w:styleId="PiedepginaCar">
    <w:name w:val="Pie de página Car"/>
    <w:basedOn w:val="Fuentedeprrafopredeter"/>
    <w:link w:val="Piedepgina"/>
    <w:rsid w:val="003B6438"/>
    <w:rPr>
      <w:rFonts w:ascii="Arial" w:eastAsia="Times New Roman" w:hAnsi="Arial" w:cs="Times New Roman"/>
      <w:color w:val="000000"/>
      <w:sz w:val="24"/>
      <w:szCs w:val="20"/>
      <w:lang w:val="es-ES" w:eastAsia="es-ES"/>
    </w:rPr>
  </w:style>
  <w:style w:type="paragraph" w:styleId="Textoindependiente">
    <w:name w:val="Body Text"/>
    <w:basedOn w:val="Normal"/>
    <w:link w:val="TextoindependienteCar"/>
    <w:uiPriority w:val="99"/>
    <w:rsid w:val="003B6438"/>
    <w:pPr>
      <w:jc w:val="both"/>
    </w:pPr>
    <w:rPr>
      <w:rFonts w:ascii="Times New Roman" w:hAnsi="Times New Roman"/>
      <w:color w:val="auto"/>
      <w:lang w:val="es-MX"/>
    </w:rPr>
  </w:style>
  <w:style w:type="character" w:customStyle="1" w:styleId="TextoindependienteCar">
    <w:name w:val="Texto independiente Car"/>
    <w:basedOn w:val="Fuentedeprrafopredeter"/>
    <w:link w:val="Textoindependiente"/>
    <w:uiPriority w:val="99"/>
    <w:rsid w:val="003B6438"/>
    <w:rPr>
      <w:rFonts w:ascii="Times New Roman" w:eastAsia="Times New Roman" w:hAnsi="Times New Roman" w:cs="Times New Roman"/>
      <w:sz w:val="24"/>
      <w:szCs w:val="20"/>
      <w:lang w:val="es-MX" w:eastAsia="es-ES"/>
    </w:rPr>
  </w:style>
  <w:style w:type="character" w:customStyle="1" w:styleId="TextocomentarioCar">
    <w:name w:val="Texto comentario Car"/>
    <w:basedOn w:val="Fuentedeprrafopredeter"/>
    <w:link w:val="Textocomentario"/>
    <w:uiPriority w:val="99"/>
    <w:semiHidden/>
    <w:rsid w:val="003B6438"/>
    <w:rPr>
      <w:rFonts w:ascii="Arial" w:eastAsia="Times New Roman" w:hAnsi="Arial" w:cs="Times New Roman"/>
      <w:color w:val="000000"/>
      <w:sz w:val="20"/>
      <w:szCs w:val="20"/>
      <w:lang w:val="es-ES" w:eastAsia="es-ES"/>
    </w:rPr>
  </w:style>
  <w:style w:type="paragraph" w:styleId="Textocomentario">
    <w:name w:val="annotation text"/>
    <w:basedOn w:val="Normal"/>
    <w:link w:val="TextocomentarioCar"/>
    <w:uiPriority w:val="99"/>
    <w:semiHidden/>
    <w:rsid w:val="003B6438"/>
    <w:rPr>
      <w:sz w:val="20"/>
    </w:rPr>
  </w:style>
  <w:style w:type="table" w:styleId="Tablaconcuadrcula">
    <w:name w:val="Table Grid"/>
    <w:basedOn w:val="Tablanormal"/>
    <w:uiPriority w:val="59"/>
    <w:rsid w:val="003B6438"/>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3B6438"/>
    <w:rPr>
      <w:rFonts w:cs="Times New Roman"/>
      <w:color w:val="0000FF"/>
      <w:u w:val="single"/>
    </w:rPr>
  </w:style>
  <w:style w:type="character" w:styleId="Nmerodepgina">
    <w:name w:val="page number"/>
    <w:basedOn w:val="Fuentedeprrafopredeter"/>
    <w:uiPriority w:val="99"/>
    <w:rsid w:val="003B6438"/>
    <w:rPr>
      <w:rFonts w:cs="Times New Roman"/>
    </w:rPr>
  </w:style>
  <w:style w:type="paragraph" w:styleId="Textoindependiente2">
    <w:name w:val="Body Text 2"/>
    <w:basedOn w:val="Normal"/>
    <w:link w:val="Textoindependiente2Car"/>
    <w:uiPriority w:val="99"/>
    <w:rsid w:val="003B6438"/>
    <w:pPr>
      <w:spacing w:after="120" w:line="480" w:lineRule="auto"/>
    </w:pPr>
    <w:rPr>
      <w:rFonts w:ascii="Times New Roman" w:hAnsi="Times New Roman"/>
      <w:color w:val="auto"/>
      <w:szCs w:val="24"/>
    </w:rPr>
  </w:style>
  <w:style w:type="character" w:customStyle="1" w:styleId="Textoindependiente2Car">
    <w:name w:val="Texto independiente 2 Car"/>
    <w:basedOn w:val="Fuentedeprrafopredeter"/>
    <w:link w:val="Textoindependiente2"/>
    <w:uiPriority w:val="99"/>
    <w:rsid w:val="003B6438"/>
    <w:rPr>
      <w:rFonts w:ascii="Times New Roman" w:eastAsia="Times New Roman" w:hAnsi="Times New Roman" w:cs="Times New Roman"/>
      <w:sz w:val="24"/>
      <w:szCs w:val="24"/>
      <w:lang w:val="es-ES" w:eastAsia="es-ES"/>
    </w:rPr>
  </w:style>
  <w:style w:type="paragraph" w:styleId="Textoindependiente3">
    <w:name w:val="Body Text 3"/>
    <w:basedOn w:val="Normal"/>
    <w:link w:val="Textoindependiente3Car"/>
    <w:uiPriority w:val="99"/>
    <w:rsid w:val="003B6438"/>
    <w:pPr>
      <w:spacing w:after="120"/>
    </w:pPr>
    <w:rPr>
      <w:sz w:val="16"/>
      <w:szCs w:val="16"/>
    </w:rPr>
  </w:style>
  <w:style w:type="character" w:customStyle="1" w:styleId="Textoindependiente3Car">
    <w:name w:val="Texto independiente 3 Car"/>
    <w:basedOn w:val="Fuentedeprrafopredeter"/>
    <w:link w:val="Textoindependiente3"/>
    <w:uiPriority w:val="99"/>
    <w:rsid w:val="003B6438"/>
    <w:rPr>
      <w:rFonts w:ascii="Arial" w:eastAsia="Times New Roman" w:hAnsi="Arial" w:cs="Times New Roman"/>
      <w:color w:val="000000"/>
      <w:sz w:val="16"/>
      <w:szCs w:val="16"/>
      <w:lang w:val="es-ES" w:eastAsia="es-ES"/>
    </w:rPr>
  </w:style>
  <w:style w:type="character" w:customStyle="1" w:styleId="TextodegloboCar">
    <w:name w:val="Texto de globo Car"/>
    <w:basedOn w:val="Fuentedeprrafopredeter"/>
    <w:link w:val="Textodeglobo"/>
    <w:uiPriority w:val="99"/>
    <w:semiHidden/>
    <w:rsid w:val="003B6438"/>
    <w:rPr>
      <w:rFonts w:ascii="Tahoma" w:eastAsia="Times New Roman" w:hAnsi="Tahoma" w:cs="Tahoma"/>
      <w:color w:val="000000"/>
      <w:sz w:val="16"/>
      <w:szCs w:val="16"/>
      <w:lang w:val="es-ES" w:eastAsia="es-ES"/>
    </w:rPr>
  </w:style>
  <w:style w:type="paragraph" w:styleId="Textodeglobo">
    <w:name w:val="Balloon Text"/>
    <w:basedOn w:val="Normal"/>
    <w:link w:val="TextodegloboCar"/>
    <w:uiPriority w:val="99"/>
    <w:semiHidden/>
    <w:rsid w:val="003B6438"/>
    <w:rPr>
      <w:rFonts w:ascii="Tahoma" w:hAnsi="Tahoma" w:cs="Tahoma"/>
      <w:sz w:val="16"/>
      <w:szCs w:val="16"/>
    </w:rPr>
  </w:style>
  <w:style w:type="paragraph" w:styleId="Prrafodelista">
    <w:name w:val="List Paragraph"/>
    <w:basedOn w:val="Normal"/>
    <w:uiPriority w:val="34"/>
    <w:qFormat/>
    <w:rsid w:val="003B6438"/>
    <w:pPr>
      <w:ind w:left="708"/>
    </w:pPr>
  </w:style>
  <w:style w:type="paragraph" w:customStyle="1" w:styleId="Table">
    <w:name w:val="Table"/>
    <w:basedOn w:val="Normal"/>
    <w:autoRedefine/>
    <w:uiPriority w:val="99"/>
    <w:rsid w:val="003B6438"/>
    <w:pPr>
      <w:spacing w:before="40" w:after="40"/>
      <w:ind w:left="4" w:hanging="4"/>
    </w:pPr>
    <w:rPr>
      <w:b/>
      <w:sz w:val="20"/>
      <w:lang w:val="en-GB" w:eastAsia="en-US"/>
    </w:rPr>
  </w:style>
  <w:style w:type="character" w:styleId="Textoennegrita">
    <w:name w:val="Strong"/>
    <w:basedOn w:val="Fuentedeprrafopredeter"/>
    <w:uiPriority w:val="22"/>
    <w:qFormat/>
    <w:rsid w:val="003B6438"/>
    <w:rPr>
      <w:b/>
      <w:bCs/>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FA Fu Car Car,texto de nota al pie"/>
    <w:basedOn w:val="Normal"/>
    <w:link w:val="TextonotapieCar"/>
    <w:uiPriority w:val="99"/>
    <w:unhideWhenUsed/>
    <w:rsid w:val="003B6438"/>
    <w:rPr>
      <w:rFonts w:asciiTheme="minorHAnsi" w:eastAsiaTheme="minorHAnsi" w:hAnsiTheme="minorHAnsi" w:cstheme="minorBidi"/>
      <w:color w:val="auto"/>
      <w:sz w:val="20"/>
      <w:lang w:val="es-CO" w:eastAsia="en-US"/>
    </w:rPr>
  </w:style>
  <w:style w:type="character" w:customStyle="1" w:styleId="TextonotapieCar">
    <w:name w:val="Texto nota pie Car"/>
    <w:aliases w:val="Footnote Text Char Char Char Char Char Car,Footnote Text Char Char Char Char Car,Footnote reference Car,FA Fu Car,Footnote Text Cha Car,Footnote Text Char Char Char Car,FA Fußnotentext Car,FA Fuﬂnotentext Car,FA Fu Car Car Car"/>
    <w:basedOn w:val="Fuentedeprrafopredeter"/>
    <w:link w:val="Textonotapie"/>
    <w:uiPriority w:val="99"/>
    <w:rsid w:val="003B6438"/>
    <w:rPr>
      <w:sz w:val="20"/>
      <w:szCs w:val="20"/>
    </w:rPr>
  </w:style>
  <w:style w:type="character" w:styleId="Refdenotaalpie">
    <w:name w:val="footnote reference"/>
    <w:basedOn w:val="Fuentedeprrafopredeter"/>
    <w:uiPriority w:val="99"/>
    <w:semiHidden/>
    <w:unhideWhenUsed/>
    <w:rsid w:val="003B6438"/>
    <w:rPr>
      <w:vertAlign w:val="superscript"/>
    </w:rPr>
  </w:style>
  <w:style w:type="paragraph" w:styleId="NormalWeb">
    <w:name w:val="Normal (Web)"/>
    <w:basedOn w:val="Normal"/>
    <w:uiPriority w:val="99"/>
    <w:unhideWhenUsed/>
    <w:rsid w:val="003B6438"/>
    <w:pPr>
      <w:spacing w:before="100" w:beforeAutospacing="1" w:after="100" w:afterAutospacing="1"/>
    </w:pPr>
    <w:rPr>
      <w:rFonts w:ascii="Times New Roman" w:hAnsi="Times New Roman"/>
      <w:color w:val="auto"/>
      <w:szCs w:val="24"/>
      <w:lang w:val="es-CO" w:eastAsia="es-CO"/>
    </w:rPr>
  </w:style>
  <w:style w:type="paragraph" w:customStyle="1" w:styleId="ms-rtethemeforecolor-2-4">
    <w:name w:val="ms-rtethemeforecolor-2-4"/>
    <w:basedOn w:val="Normal"/>
    <w:rsid w:val="003B6438"/>
    <w:pPr>
      <w:spacing w:before="100" w:beforeAutospacing="1" w:after="100" w:afterAutospacing="1"/>
    </w:pPr>
    <w:rPr>
      <w:rFonts w:ascii="Times New Roman" w:hAnsi="Times New Roman"/>
      <w:color w:val="auto"/>
      <w:szCs w:val="24"/>
      <w:lang w:val="es-CO" w:eastAsia="es-CO"/>
    </w:rPr>
  </w:style>
  <w:style w:type="character" w:styleId="nfasis">
    <w:name w:val="Emphasis"/>
    <w:basedOn w:val="Fuentedeprrafopredeter"/>
    <w:uiPriority w:val="20"/>
    <w:qFormat/>
    <w:rsid w:val="003B6438"/>
    <w:rPr>
      <w:i/>
      <w:iC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4"/>
    <w:tblPr>
      <w:tblStyleRowBandSize w:val="1"/>
      <w:tblStyleColBandSize w:val="1"/>
      <w:tblCellMar>
        <w:left w:w="70" w:type="dxa"/>
        <w:right w:w="70" w:type="dxa"/>
      </w:tblCellMar>
    </w:tblPr>
  </w:style>
  <w:style w:type="table" w:customStyle="1" w:styleId="a0">
    <w:basedOn w:val="TableNormal4"/>
    <w:tblPr>
      <w:tblStyleRowBandSize w:val="1"/>
      <w:tblStyleColBandSize w:val="1"/>
      <w:tblCellMar>
        <w:top w:w="100" w:type="dxa"/>
        <w:left w:w="100" w:type="dxa"/>
        <w:bottom w:w="100" w:type="dxa"/>
        <w:right w:w="100" w:type="dxa"/>
      </w:tblCellMar>
    </w:tblPr>
  </w:style>
  <w:style w:type="table" w:customStyle="1" w:styleId="a1">
    <w:basedOn w:val="TableNormal4"/>
    <w:tblPr>
      <w:tblStyleRowBandSize w:val="1"/>
      <w:tblStyleColBandSize w:val="1"/>
      <w:tblCellMar>
        <w:top w:w="100" w:type="dxa"/>
        <w:left w:w="100" w:type="dxa"/>
        <w:bottom w:w="100" w:type="dxa"/>
        <w:right w:w="100" w:type="dxa"/>
      </w:tblCellMar>
    </w:tblPr>
  </w:style>
  <w:style w:type="table" w:customStyle="1" w:styleId="a2">
    <w:basedOn w:val="TableNormal4"/>
    <w:tblPr>
      <w:tblStyleRowBandSize w:val="1"/>
      <w:tblStyleColBandSize w:val="1"/>
      <w:tblCellMar>
        <w:left w:w="70" w:type="dxa"/>
        <w:right w:w="70" w:type="dxa"/>
      </w:tblCellMar>
    </w:tblPr>
  </w:style>
  <w:style w:type="table" w:customStyle="1" w:styleId="a3">
    <w:basedOn w:val="TableNormal4"/>
    <w:tblPr>
      <w:tblStyleRowBandSize w:val="1"/>
      <w:tblStyleColBandSize w:val="1"/>
      <w:tblCellMar>
        <w:left w:w="70" w:type="dxa"/>
        <w:right w:w="70" w:type="dxa"/>
      </w:tblCellMar>
    </w:tblPr>
  </w:style>
  <w:style w:type="table" w:customStyle="1" w:styleId="a4">
    <w:basedOn w:val="TableNormal4"/>
    <w:tblPr>
      <w:tblStyleRowBandSize w:val="1"/>
      <w:tblStyleColBandSize w:val="1"/>
      <w:tblCellMar>
        <w:left w:w="70" w:type="dxa"/>
        <w:right w:w="70" w:type="dxa"/>
      </w:tblCellMar>
    </w:tblPr>
  </w:style>
  <w:style w:type="table" w:customStyle="1" w:styleId="a5">
    <w:basedOn w:val="TableNormal4"/>
    <w:tblPr>
      <w:tblStyleRowBandSize w:val="1"/>
      <w:tblStyleColBandSize w:val="1"/>
      <w:tblCellMar>
        <w:left w:w="70" w:type="dxa"/>
        <w:right w:w="70" w:type="dxa"/>
      </w:tblCellMar>
    </w:tblPr>
  </w:style>
  <w:style w:type="table" w:customStyle="1" w:styleId="a6">
    <w:basedOn w:val="TableNormal2"/>
    <w:tblPr>
      <w:tblStyleRowBandSize w:val="1"/>
      <w:tblStyleColBandSize w:val="1"/>
      <w:tblCellMar>
        <w:left w:w="70" w:type="dxa"/>
        <w:right w:w="70" w:type="dxa"/>
      </w:tblCellMar>
    </w:tblPr>
  </w:style>
  <w:style w:type="table" w:customStyle="1" w:styleId="a7">
    <w:basedOn w:val="TableNormal2"/>
    <w:tblPr>
      <w:tblStyleRowBandSize w:val="1"/>
      <w:tblStyleColBandSize w:val="1"/>
      <w:tblCellMar>
        <w:left w:w="70" w:type="dxa"/>
        <w:right w:w="70" w:type="dxa"/>
      </w:tblCellMar>
    </w:tblPr>
  </w:style>
  <w:style w:type="table" w:customStyle="1" w:styleId="a8">
    <w:basedOn w:val="TableNormal2"/>
    <w:tblPr>
      <w:tblStyleRowBandSize w:val="1"/>
      <w:tblStyleColBandSize w:val="1"/>
      <w:tblCellMar>
        <w:top w:w="100" w:type="dxa"/>
        <w:left w:w="100" w:type="dxa"/>
        <w:bottom w:w="100" w:type="dxa"/>
        <w:right w:w="100" w:type="dxa"/>
      </w:tblCellMar>
    </w:tblPr>
  </w:style>
  <w:style w:type="table" w:customStyle="1" w:styleId="a9">
    <w:basedOn w:val="TableNormal2"/>
    <w:tblPr>
      <w:tblStyleRowBandSize w:val="1"/>
      <w:tblStyleColBandSize w:val="1"/>
      <w:tblCellMar>
        <w:left w:w="70" w:type="dxa"/>
        <w:right w:w="70" w:type="dxa"/>
      </w:tblCellMar>
    </w:tblPr>
  </w:style>
  <w:style w:type="table" w:customStyle="1" w:styleId="aa">
    <w:basedOn w:val="TableNormal2"/>
    <w:tblPr>
      <w:tblStyleRowBandSize w:val="1"/>
      <w:tblStyleColBandSize w:val="1"/>
      <w:tblCellMar>
        <w:left w:w="70" w:type="dxa"/>
        <w:right w:w="70" w:type="dxa"/>
      </w:tblCellMar>
    </w:tblPr>
  </w:style>
  <w:style w:type="table" w:customStyle="1" w:styleId="ab">
    <w:basedOn w:val="TableNormal2"/>
    <w:tblPr>
      <w:tblStyleRowBandSize w:val="1"/>
      <w:tblStyleColBandSize w:val="1"/>
      <w:tblCellMar>
        <w:left w:w="70" w:type="dxa"/>
        <w:right w:w="70" w:type="dxa"/>
      </w:tblCellMar>
    </w:tblPr>
  </w:style>
  <w:style w:type="table" w:customStyle="1" w:styleId="ac">
    <w:basedOn w:val="TableNormal2"/>
    <w:tblPr>
      <w:tblStyleRowBandSize w:val="1"/>
      <w:tblStyleColBandSize w:val="1"/>
      <w:tblCellMar>
        <w:left w:w="70" w:type="dxa"/>
        <w:right w:w="70" w:type="dxa"/>
      </w:tblCellMar>
    </w:tblPr>
  </w:style>
  <w:style w:type="table" w:customStyle="1" w:styleId="ad">
    <w:basedOn w:val="TableNormal2"/>
    <w:tblPr>
      <w:tblStyleRowBandSize w:val="1"/>
      <w:tblStyleColBandSize w:val="1"/>
      <w:tblCellMar>
        <w:left w:w="70" w:type="dxa"/>
        <w:right w:w="70" w:type="dxa"/>
      </w:tblCellMar>
    </w:tblPr>
  </w:style>
  <w:style w:type="table" w:customStyle="1" w:styleId="ae">
    <w:basedOn w:val="TableNormal2"/>
    <w:tblPr>
      <w:tblStyleRowBandSize w:val="1"/>
      <w:tblStyleColBandSize w:val="1"/>
      <w:tblCellMar>
        <w:left w:w="70" w:type="dxa"/>
        <w:right w:w="70" w:type="dxa"/>
      </w:tblCellMar>
    </w:tblPr>
  </w:style>
  <w:style w:type="table" w:customStyle="1" w:styleId="af">
    <w:basedOn w:val="TableNormal2"/>
    <w:tblPr>
      <w:tblStyleRowBandSize w:val="1"/>
      <w:tblStyleColBandSize w:val="1"/>
      <w:tblCellMar>
        <w:left w:w="70" w:type="dxa"/>
        <w:right w:w="70" w:type="dxa"/>
      </w:tblCellMar>
    </w:tblPr>
  </w:style>
  <w:style w:type="table" w:customStyle="1" w:styleId="af0">
    <w:basedOn w:val="TableNormal2"/>
    <w:tblPr>
      <w:tblStyleRowBandSize w:val="1"/>
      <w:tblStyleColBandSize w:val="1"/>
      <w:tblCellMar>
        <w:left w:w="70" w:type="dxa"/>
        <w:right w:w="70" w:type="dxa"/>
      </w:tblCellMar>
    </w:tblPr>
  </w:style>
  <w:style w:type="table" w:customStyle="1" w:styleId="af1">
    <w:basedOn w:val="TableNormal2"/>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funcionpublica.gov.co/eva/gestornormativo/norma.php?i=4304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dx.doi.org/10.4067/S0717-92272002000600003" TargetMode="External"/><Relationship Id="rId2" Type="http://schemas.openxmlformats.org/officeDocument/2006/relationships/hyperlink" Target="https://www.medigraphic.com/cgi-bin/new/resumen.cgi?IDARTICULO=17499" TargetMode="External"/><Relationship Id="rId1" Type="http://schemas.openxmlformats.org/officeDocument/2006/relationships/hyperlink" Target="https://dx.doi.org/10.4067/S0717-92272002000600003" TargetMode="External"/><Relationship Id="rId5" Type="http://schemas.openxmlformats.org/officeDocument/2006/relationships/hyperlink" Target="https://storage.googleapis.com/saludata_descargas/Salud_Mental/Estudio%20salud%20mental.pdf" TargetMode="External"/><Relationship Id="rId4" Type="http://schemas.openxmlformats.org/officeDocument/2006/relationships/hyperlink" Target="https://www.federaciocatalanatdah.org/wp-content/uploads/2018/12/dsm5-manualdiagnsticoyestadisticodelostrastornosmentales-161006005112.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rc4WlWalnAPk+i2dv9epvBnVww==">CgMxLjAaHwoBMBIaChgICVIUChJ0YWJsZS5sc3BjZWl4dDd4eHkyDmgucnhwenV5d2UwbGVuMg5oLjMwZXU5NnR5YXFtNzgAciExNjd0WTQ3ZXVBallraUhaTWppUjN4RkFBZE0yYS1mTFA=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6349</Words>
  <Characters>34922</Characters>
  <Application>Microsoft Office Word</Application>
  <DocSecurity>0</DocSecurity>
  <Lines>291</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EDGAR BOGOTA RODRIGUEZ</dc:creator>
  <cp:lastModifiedBy>ANA YOLANDA DURAN RODRIGUEZ</cp:lastModifiedBy>
  <cp:revision>2</cp:revision>
  <dcterms:created xsi:type="dcterms:W3CDTF">2025-01-29T00:04:00Z</dcterms:created>
  <dcterms:modified xsi:type="dcterms:W3CDTF">2025-01-29T00:04:00Z</dcterms:modified>
</cp:coreProperties>
</file>